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sz w:val="24"/>
          <w:szCs w:val="24"/>
        </w:rPr>
      </w:pPr>
      <w:r>
        <w:rPr>
          <w:noProof/>
          <w:sz w:val="24"/>
          <w:szCs w:val="24"/>
          <w:lang w:eastAsia="en-GB"/>
        </w:rPr>
        <w:drawing>
          <wp:inline distT="0" distB="0" distL="0" distR="0">
            <wp:extent cx="2781300" cy="3723500"/>
            <wp:effectExtent l="0" t="0" r="0" b="0"/>
            <wp:docPr id="2" name="Picture 2" descr="U:\The Beacon\Master\File Covers and Logos\Beacon Logos updated 100117\VERTICAL\FOR WHITE BACKGROUND\TBF LOGO - COL - S - WHITE BG - HI RES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e Beacon\Master\File Covers and Logos\Beacon Logos updated 100117\VERTICAL\FOR WHITE BACKGROUND\TBF LOGO - COL - S - WHITE BG - HI RES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9747" cy="3734809"/>
                    </a:xfrm>
                    <a:prstGeom prst="rect">
                      <a:avLst/>
                    </a:prstGeom>
                    <a:noFill/>
                    <a:ln>
                      <a:noFill/>
                    </a:ln>
                  </pic:spPr>
                </pic:pic>
              </a:graphicData>
            </a:graphic>
          </wp:inline>
        </w:drawing>
      </w:r>
    </w:p>
    <w:p>
      <w:pPr>
        <w:spacing w:after="0"/>
        <w:rPr>
          <w:sz w:val="24"/>
          <w:szCs w:val="24"/>
        </w:rPr>
      </w:pPr>
    </w:p>
    <w:p>
      <w:pPr>
        <w:spacing w:after="0"/>
        <w:rPr>
          <w:sz w:val="24"/>
          <w:szCs w:val="24"/>
        </w:rPr>
      </w:pPr>
    </w:p>
    <w:p>
      <w:pPr>
        <w:spacing w:after="0"/>
        <w:rPr>
          <w:sz w:val="24"/>
          <w:szCs w:val="24"/>
        </w:rPr>
      </w:pPr>
    </w:p>
    <w:p>
      <w:pPr>
        <w:pStyle w:val="SPSTitle"/>
        <w:ind w:left="0"/>
      </w:pPr>
    </w:p>
    <w:p>
      <w:pPr>
        <w:pStyle w:val="SPSTitle"/>
        <w:ind w:left="0"/>
      </w:pPr>
    </w:p>
    <w:p>
      <w:pPr>
        <w:pStyle w:val="SPSTitle"/>
        <w:ind w:left="0"/>
        <w:jc w:val="center"/>
        <w:rPr>
          <w:rFonts w:asciiTheme="minorHAnsi" w:hAnsiTheme="minorHAnsi"/>
          <w:color w:val="auto"/>
          <w:sz w:val="72"/>
          <w:szCs w:val="72"/>
        </w:rPr>
      </w:pPr>
      <w:r>
        <w:rPr>
          <w:rFonts w:asciiTheme="minorHAnsi" w:hAnsiTheme="minorHAnsi"/>
          <w:color w:val="auto"/>
          <w:sz w:val="72"/>
          <w:szCs w:val="72"/>
        </w:rPr>
        <w:t>Parent Friendly</w:t>
      </w:r>
    </w:p>
    <w:p>
      <w:pPr>
        <w:pStyle w:val="SPSTitle"/>
        <w:ind w:left="0"/>
        <w:jc w:val="center"/>
        <w:rPr>
          <w:rFonts w:asciiTheme="minorHAnsi" w:hAnsiTheme="minorHAnsi"/>
          <w:sz w:val="72"/>
          <w:szCs w:val="72"/>
        </w:rPr>
      </w:pPr>
      <w:r>
        <w:rPr>
          <w:rFonts w:asciiTheme="minorHAnsi" w:hAnsiTheme="minorHAnsi"/>
          <w:color w:val="auto"/>
          <w:sz w:val="72"/>
          <w:szCs w:val="72"/>
        </w:rPr>
        <w:t xml:space="preserve"> Safeguarding Procedure.</w:t>
      </w:r>
      <w:r>
        <w:rPr>
          <w:rFonts w:asciiTheme="minorHAnsi" w:hAnsiTheme="minorHAnsi"/>
          <w:sz w:val="72"/>
          <w:szCs w:val="72"/>
        </w:rPr>
        <w:br w:type="page"/>
      </w:r>
    </w:p>
    <w:p>
      <w:pPr>
        <w:spacing w:after="0"/>
        <w:rPr>
          <w:sz w:val="24"/>
          <w:szCs w:val="24"/>
        </w:rPr>
      </w:pPr>
      <w:r>
        <w:rPr>
          <w:noProof/>
          <w:lang w:eastAsia="en-GB"/>
        </w:rPr>
        <w:lastRenderedPageBreak/>
        <w:drawing>
          <wp:inline distT="0" distB="0" distL="0" distR="0">
            <wp:extent cx="857573" cy="1145540"/>
            <wp:effectExtent l="0" t="0" r="0" b="0"/>
            <wp:docPr id="1" name="Picture 1" descr="U:\The Beacon\Master\FOR WHITE BACKGROUND\JPEG\TBF LOGO - COL - S - WHITE BG - HI 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e Beacon\Master\FOR WHITE BACKGROUND\JPEG\TBF LOGO - COL - S - WHITE BG - HI RES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029" cy="1155499"/>
                    </a:xfrm>
                    <a:prstGeom prst="rect">
                      <a:avLst/>
                    </a:prstGeom>
                    <a:noFill/>
                    <a:ln>
                      <a:noFill/>
                    </a:ln>
                  </pic:spPr>
                </pic:pic>
              </a:graphicData>
            </a:graphic>
          </wp:inline>
        </w:drawing>
      </w:r>
    </w:p>
    <w:p>
      <w:pPr>
        <w:spacing w:after="0"/>
        <w:rPr>
          <w:sz w:val="24"/>
          <w:szCs w:val="24"/>
        </w:rPr>
      </w:pPr>
    </w:p>
    <w:p>
      <w:pPr>
        <w:autoSpaceDE w:val="0"/>
        <w:autoSpaceDN w:val="0"/>
        <w:adjustRightInd w:val="0"/>
        <w:spacing w:after="0" w:line="240" w:lineRule="auto"/>
        <w:rPr>
          <w:rFonts w:ascii="Helvetica" w:hAnsi="Helvetica" w:cs="Helvetica"/>
          <w:sz w:val="23"/>
          <w:szCs w:val="23"/>
        </w:rPr>
      </w:pPr>
    </w:p>
    <w:p>
      <w:pPr>
        <w:autoSpaceDE w:val="0"/>
        <w:autoSpaceDN w:val="0"/>
        <w:adjustRightInd w:val="0"/>
        <w:spacing w:after="0" w:line="240" w:lineRule="auto"/>
        <w:rPr>
          <w:rFonts w:ascii="Helvetica" w:hAnsi="Helvetica" w:cs="Helvetica"/>
          <w:sz w:val="23"/>
          <w:szCs w:val="23"/>
        </w:rPr>
      </w:pPr>
    </w:p>
    <w:p>
      <w:pPr>
        <w:autoSpaceDE w:val="0"/>
        <w:autoSpaceDN w:val="0"/>
        <w:adjustRightInd w:val="0"/>
        <w:spacing w:after="0" w:line="240" w:lineRule="auto"/>
        <w:rPr>
          <w:rFonts w:cs="Helvetica"/>
        </w:rPr>
      </w:pPr>
      <w:r>
        <w:rPr>
          <w:rFonts w:cs="Helvetica"/>
        </w:rPr>
        <w:t>The Beacon Folkestone will endeavour to keep pupils safe and free from harm.</w:t>
      </w:r>
    </w:p>
    <w:p>
      <w:pPr>
        <w:autoSpaceDE w:val="0"/>
        <w:autoSpaceDN w:val="0"/>
        <w:adjustRightInd w:val="0"/>
        <w:spacing w:after="0" w:line="240" w:lineRule="auto"/>
        <w:rPr>
          <w:rFonts w:cs="Helvetica"/>
        </w:rPr>
      </w:pPr>
    </w:p>
    <w:p>
      <w:pPr>
        <w:autoSpaceDE w:val="0"/>
        <w:autoSpaceDN w:val="0"/>
        <w:adjustRightInd w:val="0"/>
        <w:spacing w:after="0" w:line="240" w:lineRule="auto"/>
        <w:rPr>
          <w:rFonts w:cs="Helvetica"/>
        </w:rPr>
      </w:pPr>
      <w:r>
        <w:rPr>
          <w:rFonts w:cs="Helvetica"/>
        </w:rPr>
        <w:t>We are committed to playing a full and active part in the multi-agency response to safeguarding concerns. Additionally, the school has a legal duty to safeguard and promote the welfare of our pupils.  Our Policy does reflect Local Authority requirements.</w:t>
      </w:r>
    </w:p>
    <w:p>
      <w:pPr>
        <w:autoSpaceDE w:val="0"/>
        <w:autoSpaceDN w:val="0"/>
        <w:adjustRightInd w:val="0"/>
        <w:spacing w:after="0" w:line="240" w:lineRule="auto"/>
        <w:rPr>
          <w:rFonts w:cs="Helvetica"/>
        </w:rPr>
      </w:pPr>
    </w:p>
    <w:p>
      <w:pPr>
        <w:autoSpaceDE w:val="0"/>
        <w:autoSpaceDN w:val="0"/>
        <w:adjustRightInd w:val="0"/>
        <w:spacing w:after="0" w:line="240" w:lineRule="auto"/>
        <w:rPr>
          <w:rFonts w:cs="Helvetica"/>
        </w:rPr>
      </w:pPr>
      <w:r>
        <w:rPr>
          <w:rFonts w:cs="Helvetica"/>
        </w:rPr>
        <w:t xml:space="preserve">Through our </w:t>
      </w:r>
      <w:proofErr w:type="gramStart"/>
      <w:r>
        <w:rPr>
          <w:rFonts w:cs="Helvetica"/>
        </w:rPr>
        <w:t>day to day</w:t>
      </w:r>
      <w:proofErr w:type="gramEnd"/>
      <w:r>
        <w:rPr>
          <w:rFonts w:cs="Helvetica"/>
        </w:rPr>
        <w:t xml:space="preserve"> contact with pupils, and direct work with families, The Beacon Staff have a crucial role to play in noticing indicators of possible safeguarding concerns. Parents/carers should be aware that as part of our procedures we are to report any concerns to Social Services/Police immediately.</w:t>
      </w:r>
    </w:p>
    <w:p>
      <w:pPr>
        <w:autoSpaceDE w:val="0"/>
        <w:autoSpaceDN w:val="0"/>
        <w:adjustRightInd w:val="0"/>
        <w:spacing w:after="0" w:line="240" w:lineRule="auto"/>
        <w:rPr>
          <w:rFonts w:cs="Helvetica"/>
        </w:rPr>
      </w:pPr>
    </w:p>
    <w:p>
      <w:pPr>
        <w:autoSpaceDE w:val="0"/>
        <w:autoSpaceDN w:val="0"/>
        <w:adjustRightInd w:val="0"/>
        <w:spacing w:after="0" w:line="240" w:lineRule="auto"/>
        <w:rPr>
          <w:rFonts w:cs="Helvetica"/>
        </w:rPr>
      </w:pPr>
      <w:r>
        <w:rPr>
          <w:rFonts w:cs="Helvetica"/>
        </w:rPr>
        <w:t>To avoid any misunderstandings, parents/carers of pupils who sustain</w:t>
      </w:r>
    </w:p>
    <w:p>
      <w:pPr>
        <w:autoSpaceDE w:val="0"/>
        <w:autoSpaceDN w:val="0"/>
        <w:adjustRightInd w:val="0"/>
        <w:spacing w:after="0" w:line="240" w:lineRule="auto"/>
        <w:rPr>
          <w:rFonts w:cs="Helvetica"/>
        </w:rPr>
      </w:pPr>
      <w:proofErr w:type="gramStart"/>
      <w:r>
        <w:rPr>
          <w:rFonts w:cs="Helvetica"/>
        </w:rPr>
        <w:t>accidental</w:t>
      </w:r>
      <w:proofErr w:type="gramEnd"/>
      <w:r>
        <w:rPr>
          <w:rFonts w:cs="Helvetica"/>
        </w:rPr>
        <w:t xml:space="preserve"> injuries which result in cuts/bruises/fractures should inform the school without delay.</w:t>
      </w:r>
    </w:p>
    <w:p>
      <w:pPr>
        <w:autoSpaceDE w:val="0"/>
        <w:autoSpaceDN w:val="0"/>
        <w:adjustRightInd w:val="0"/>
        <w:spacing w:after="0" w:line="240" w:lineRule="auto"/>
        <w:rPr>
          <w:rFonts w:cs="Helvetica"/>
        </w:rPr>
      </w:pPr>
    </w:p>
    <w:p>
      <w:pPr>
        <w:autoSpaceDE w:val="0"/>
        <w:autoSpaceDN w:val="0"/>
        <w:adjustRightInd w:val="0"/>
        <w:spacing w:after="0" w:line="240" w:lineRule="auto"/>
        <w:rPr>
          <w:rFonts w:cs="Helvetica-Bold"/>
          <w:b/>
          <w:bCs/>
        </w:rPr>
      </w:pPr>
      <w:r>
        <w:rPr>
          <w:rFonts w:cs="Helvetica-Bold"/>
          <w:b/>
          <w:bCs/>
        </w:rPr>
        <w:t>Principles</w:t>
      </w:r>
    </w:p>
    <w:p>
      <w:pPr>
        <w:autoSpaceDE w:val="0"/>
        <w:autoSpaceDN w:val="0"/>
        <w:adjustRightInd w:val="0"/>
        <w:spacing w:after="0" w:line="240" w:lineRule="auto"/>
        <w:rPr>
          <w:rFonts w:cs="Helvetica"/>
        </w:rPr>
      </w:pPr>
    </w:p>
    <w:p>
      <w:pPr>
        <w:autoSpaceDE w:val="0"/>
        <w:autoSpaceDN w:val="0"/>
        <w:adjustRightInd w:val="0"/>
        <w:spacing w:after="0" w:line="240" w:lineRule="auto"/>
        <w:rPr>
          <w:rFonts w:cs="Helvetica"/>
        </w:rPr>
      </w:pPr>
      <w:r>
        <w:rPr>
          <w:rFonts w:cs="Helvetica"/>
        </w:rPr>
        <w:t>Pupils have a right to be safe.</w:t>
      </w:r>
    </w:p>
    <w:p>
      <w:pPr>
        <w:autoSpaceDE w:val="0"/>
        <w:autoSpaceDN w:val="0"/>
        <w:adjustRightInd w:val="0"/>
        <w:spacing w:after="0" w:line="240" w:lineRule="auto"/>
        <w:rPr>
          <w:rFonts w:cs="Helvetica"/>
        </w:rPr>
      </w:pPr>
      <w:r>
        <w:rPr>
          <w:rFonts w:cs="Helvetica"/>
        </w:rPr>
        <w:t xml:space="preserve">Parent/carers have a right to </w:t>
      </w:r>
      <w:proofErr w:type="gramStart"/>
      <w:r>
        <w:rPr>
          <w:rFonts w:cs="Helvetica"/>
        </w:rPr>
        <w:t>be informed</w:t>
      </w:r>
      <w:proofErr w:type="gramEnd"/>
      <w:r>
        <w:rPr>
          <w:rFonts w:cs="Helvetica"/>
        </w:rPr>
        <w:t>.</w:t>
      </w:r>
    </w:p>
    <w:p>
      <w:pPr>
        <w:autoSpaceDE w:val="0"/>
        <w:autoSpaceDN w:val="0"/>
        <w:adjustRightInd w:val="0"/>
        <w:spacing w:after="0" w:line="240" w:lineRule="auto"/>
        <w:rPr>
          <w:rFonts w:cs="Helvetica"/>
        </w:rPr>
      </w:pPr>
      <w:r>
        <w:rPr>
          <w:rFonts w:cs="Helvetica"/>
        </w:rPr>
        <w:t>Pupils are best protected when parents/carers and school can work together.</w:t>
      </w:r>
    </w:p>
    <w:p>
      <w:pPr>
        <w:autoSpaceDE w:val="0"/>
        <w:autoSpaceDN w:val="0"/>
        <w:adjustRightInd w:val="0"/>
        <w:spacing w:after="0" w:line="240" w:lineRule="auto"/>
        <w:rPr>
          <w:rFonts w:cs="Helvetica-Bold"/>
          <w:b/>
          <w:bCs/>
        </w:rPr>
      </w:pPr>
    </w:p>
    <w:p>
      <w:pPr>
        <w:autoSpaceDE w:val="0"/>
        <w:autoSpaceDN w:val="0"/>
        <w:adjustRightInd w:val="0"/>
        <w:spacing w:after="0" w:line="240" w:lineRule="auto"/>
        <w:rPr>
          <w:rFonts w:cs="Helvetica-Bold"/>
          <w:b/>
          <w:bCs/>
        </w:rPr>
      </w:pPr>
      <w:r>
        <w:rPr>
          <w:rFonts w:cs="Helvetica-Bold"/>
          <w:b/>
          <w:bCs/>
        </w:rPr>
        <w:t>Partnership</w:t>
      </w:r>
    </w:p>
    <w:p>
      <w:pPr>
        <w:autoSpaceDE w:val="0"/>
        <w:autoSpaceDN w:val="0"/>
        <w:adjustRightInd w:val="0"/>
        <w:spacing w:after="0" w:line="240" w:lineRule="auto"/>
        <w:rPr>
          <w:rFonts w:cs="Helvetica-Bold"/>
          <w:b/>
          <w:bCs/>
        </w:rPr>
      </w:pPr>
    </w:p>
    <w:p>
      <w:pPr>
        <w:autoSpaceDE w:val="0"/>
        <w:autoSpaceDN w:val="0"/>
        <w:adjustRightInd w:val="0"/>
        <w:spacing w:after="0" w:line="240" w:lineRule="auto"/>
        <w:rPr>
          <w:rFonts w:cs="Helvetica"/>
        </w:rPr>
      </w:pPr>
      <w:r>
        <w:rPr>
          <w:rFonts w:cs="Helvetica"/>
        </w:rPr>
        <w:t>School will inform parent/carers of any concerns about their children (providing it does not compromise the pupil’s safety) and will help and support them as necessary.</w:t>
      </w:r>
    </w:p>
    <w:p>
      <w:pPr>
        <w:autoSpaceDE w:val="0"/>
        <w:autoSpaceDN w:val="0"/>
        <w:adjustRightInd w:val="0"/>
        <w:spacing w:after="0" w:line="240" w:lineRule="auto"/>
        <w:rPr>
          <w:rFonts w:cs="Helvetica"/>
        </w:rPr>
      </w:pPr>
    </w:p>
    <w:p>
      <w:pPr>
        <w:autoSpaceDE w:val="0"/>
        <w:autoSpaceDN w:val="0"/>
        <w:adjustRightInd w:val="0"/>
        <w:spacing w:after="0" w:line="240" w:lineRule="auto"/>
        <w:rPr>
          <w:rFonts w:cs="Helvetica-Bold"/>
          <w:b/>
          <w:bCs/>
        </w:rPr>
      </w:pPr>
      <w:r>
        <w:rPr>
          <w:rFonts w:cs="Helvetica-Bold"/>
          <w:b/>
          <w:bCs/>
        </w:rPr>
        <w:t>Prevention</w:t>
      </w:r>
    </w:p>
    <w:p>
      <w:pPr>
        <w:autoSpaceDE w:val="0"/>
        <w:autoSpaceDN w:val="0"/>
        <w:adjustRightInd w:val="0"/>
        <w:spacing w:after="0" w:line="240" w:lineRule="auto"/>
        <w:rPr>
          <w:rFonts w:cs="Helvetica-Bold"/>
          <w:b/>
          <w:bCs/>
        </w:rPr>
      </w:pPr>
    </w:p>
    <w:p>
      <w:pPr>
        <w:autoSpaceDE w:val="0"/>
        <w:autoSpaceDN w:val="0"/>
        <w:adjustRightInd w:val="0"/>
        <w:spacing w:after="0" w:line="240" w:lineRule="auto"/>
        <w:rPr>
          <w:rFonts w:cs="Helvetica"/>
        </w:rPr>
      </w:pPr>
      <w:r>
        <w:rPr>
          <w:rFonts w:cs="Helvetica"/>
        </w:rPr>
        <w:t>Staff at The Beacon Folkestone will take positive actions to safeguard pupils through the development of an open culture that informs pupils of their rights and encourages them to speak about any concerns. The school will also address the issue of pupil’s safety through the curriculum.</w:t>
      </w:r>
    </w:p>
    <w:p>
      <w:pPr>
        <w:autoSpaceDE w:val="0"/>
        <w:autoSpaceDN w:val="0"/>
        <w:adjustRightInd w:val="0"/>
        <w:spacing w:after="0" w:line="240" w:lineRule="auto"/>
        <w:rPr>
          <w:rFonts w:cs="Helvetica"/>
        </w:rPr>
      </w:pPr>
    </w:p>
    <w:p>
      <w:pPr>
        <w:autoSpaceDE w:val="0"/>
        <w:autoSpaceDN w:val="0"/>
        <w:adjustRightInd w:val="0"/>
        <w:spacing w:after="0" w:line="240" w:lineRule="auto"/>
        <w:rPr>
          <w:rFonts w:cs="Helvetica-Bold"/>
          <w:b/>
          <w:bCs/>
        </w:rPr>
      </w:pPr>
      <w:r>
        <w:rPr>
          <w:rFonts w:cs="Helvetica-Bold"/>
          <w:b/>
          <w:bCs/>
        </w:rPr>
        <w:t>Responding to Concerns</w:t>
      </w:r>
    </w:p>
    <w:p>
      <w:pPr>
        <w:autoSpaceDE w:val="0"/>
        <w:autoSpaceDN w:val="0"/>
        <w:adjustRightInd w:val="0"/>
        <w:spacing w:after="0" w:line="240" w:lineRule="auto"/>
        <w:rPr>
          <w:rFonts w:cs="Helvetica-Bold"/>
          <w:b/>
          <w:bCs/>
        </w:rPr>
      </w:pPr>
    </w:p>
    <w:p>
      <w:pPr>
        <w:autoSpaceDE w:val="0"/>
        <w:autoSpaceDN w:val="0"/>
        <w:adjustRightInd w:val="0"/>
        <w:spacing w:after="0" w:line="240" w:lineRule="auto"/>
        <w:rPr>
          <w:rFonts w:cs="Helvetica"/>
        </w:rPr>
      </w:pPr>
      <w:r>
        <w:rPr>
          <w:rFonts w:cs="Helvetica"/>
        </w:rPr>
        <w:t xml:space="preserve">Staff at The Beacon Folkestone will respond to concerns in regards to the safeguarding of pupils through the appropriate agencies.   </w:t>
      </w:r>
    </w:p>
    <w:p>
      <w:pPr>
        <w:autoSpaceDE w:val="0"/>
        <w:autoSpaceDN w:val="0"/>
        <w:adjustRightInd w:val="0"/>
        <w:spacing w:after="0" w:line="240" w:lineRule="auto"/>
        <w:rPr>
          <w:rFonts w:cs="Helvetica"/>
        </w:rPr>
      </w:pPr>
    </w:p>
    <w:p>
      <w:pPr>
        <w:autoSpaceDE w:val="0"/>
        <w:autoSpaceDN w:val="0"/>
        <w:adjustRightInd w:val="0"/>
        <w:spacing w:after="0" w:line="240" w:lineRule="auto"/>
        <w:rPr>
          <w:rFonts w:cs="Helvetica"/>
        </w:rPr>
      </w:pPr>
      <w:r>
        <w:rPr>
          <w:rFonts w:cs="Helvetica"/>
        </w:rPr>
        <w:t xml:space="preserve">Staff at The Beacon Folkestone will discuss with parents any concerns they have about pupils, where appropriate parents/carers </w:t>
      </w:r>
      <w:proofErr w:type="gramStart"/>
      <w:r>
        <w:rPr>
          <w:rFonts w:cs="Helvetica"/>
        </w:rPr>
        <w:t>will be kept</w:t>
      </w:r>
      <w:proofErr w:type="gramEnd"/>
      <w:r>
        <w:rPr>
          <w:rFonts w:cs="Helvetica"/>
        </w:rPr>
        <w:t xml:space="preserve"> informed of what has happened.</w:t>
      </w:r>
    </w:p>
    <w:p>
      <w:pPr>
        <w:autoSpaceDE w:val="0"/>
        <w:autoSpaceDN w:val="0"/>
        <w:adjustRightInd w:val="0"/>
        <w:spacing w:after="0" w:line="240" w:lineRule="auto"/>
        <w:rPr>
          <w:rFonts w:cs="Helvetica"/>
        </w:rPr>
      </w:pPr>
    </w:p>
    <w:p>
      <w:pPr>
        <w:autoSpaceDE w:val="0"/>
        <w:autoSpaceDN w:val="0"/>
        <w:adjustRightInd w:val="0"/>
        <w:spacing w:after="0" w:line="240" w:lineRule="auto"/>
        <w:rPr>
          <w:rFonts w:cs="Helvetica"/>
        </w:rPr>
      </w:pPr>
    </w:p>
    <w:p>
      <w:pPr>
        <w:autoSpaceDE w:val="0"/>
        <w:autoSpaceDN w:val="0"/>
        <w:adjustRightInd w:val="0"/>
        <w:spacing w:after="0" w:line="240" w:lineRule="auto"/>
        <w:rPr>
          <w:rFonts w:cs="Helvetica"/>
        </w:rPr>
      </w:pPr>
    </w:p>
    <w:p>
      <w:pPr>
        <w:autoSpaceDE w:val="0"/>
        <w:autoSpaceDN w:val="0"/>
        <w:adjustRightInd w:val="0"/>
        <w:spacing w:after="0" w:line="240" w:lineRule="auto"/>
        <w:rPr>
          <w:rFonts w:cs="Helvetica-Bold"/>
          <w:b/>
          <w:bCs/>
        </w:rPr>
      </w:pPr>
    </w:p>
    <w:p>
      <w:pPr>
        <w:autoSpaceDE w:val="0"/>
        <w:autoSpaceDN w:val="0"/>
        <w:adjustRightInd w:val="0"/>
        <w:spacing w:after="0" w:line="240" w:lineRule="auto"/>
        <w:rPr>
          <w:rFonts w:cs="Helvetica-Bold"/>
          <w:b/>
          <w:bCs/>
        </w:rPr>
      </w:pPr>
      <w:proofErr w:type="gramStart"/>
      <w:r>
        <w:rPr>
          <w:rFonts w:cs="Helvetica-Bold"/>
          <w:b/>
          <w:bCs/>
        </w:rPr>
        <w:lastRenderedPageBreak/>
        <w:t>Pupil to Pupil</w:t>
      </w:r>
      <w:proofErr w:type="gramEnd"/>
      <w:r>
        <w:rPr>
          <w:rFonts w:cs="Helvetica-Bold"/>
          <w:b/>
          <w:bCs/>
        </w:rPr>
        <w:t xml:space="preserve"> Concerns </w:t>
      </w:r>
    </w:p>
    <w:p>
      <w:pPr>
        <w:autoSpaceDE w:val="0"/>
        <w:autoSpaceDN w:val="0"/>
        <w:adjustRightInd w:val="0"/>
        <w:spacing w:after="0" w:line="240" w:lineRule="auto"/>
        <w:rPr>
          <w:rFonts w:cs="Helvetica-Bold"/>
          <w:b/>
          <w:bCs/>
        </w:rPr>
      </w:pPr>
    </w:p>
    <w:p>
      <w:pPr>
        <w:autoSpaceDE w:val="0"/>
        <w:autoSpaceDN w:val="0"/>
        <w:adjustRightInd w:val="0"/>
        <w:spacing w:after="0" w:line="240" w:lineRule="auto"/>
        <w:rPr>
          <w:rFonts w:cs="Helvetica"/>
        </w:rPr>
      </w:pPr>
      <w:r>
        <w:rPr>
          <w:rFonts w:cs="Helvetica"/>
        </w:rPr>
        <w:t xml:space="preserve">Safeguarding concerns of pupils by other pupils </w:t>
      </w:r>
      <w:proofErr w:type="gramStart"/>
      <w:r>
        <w:rPr>
          <w:rFonts w:cs="Helvetica"/>
        </w:rPr>
        <w:t>will be dealt with</w:t>
      </w:r>
      <w:proofErr w:type="gramEnd"/>
      <w:r>
        <w:rPr>
          <w:rFonts w:cs="Helvetica"/>
        </w:rPr>
        <w:t xml:space="preserve"> through the school’s Anti-Bullying Policy. Parents/carers </w:t>
      </w:r>
      <w:proofErr w:type="gramStart"/>
      <w:r>
        <w:rPr>
          <w:rFonts w:cs="Helvetica"/>
        </w:rPr>
        <w:t>will be kept</w:t>
      </w:r>
      <w:proofErr w:type="gramEnd"/>
      <w:r>
        <w:rPr>
          <w:rFonts w:cs="Helvetica"/>
        </w:rPr>
        <w:t xml:space="preserve"> informed. </w:t>
      </w:r>
    </w:p>
    <w:p>
      <w:pPr>
        <w:autoSpaceDE w:val="0"/>
        <w:autoSpaceDN w:val="0"/>
        <w:adjustRightInd w:val="0"/>
        <w:spacing w:after="0" w:line="240" w:lineRule="auto"/>
        <w:rPr>
          <w:rFonts w:cs="Helvetica-Bold"/>
          <w:b/>
          <w:bCs/>
        </w:rPr>
      </w:pPr>
    </w:p>
    <w:p>
      <w:pPr>
        <w:autoSpaceDE w:val="0"/>
        <w:autoSpaceDN w:val="0"/>
        <w:adjustRightInd w:val="0"/>
        <w:spacing w:after="0" w:line="240" w:lineRule="auto"/>
        <w:rPr>
          <w:rFonts w:cs="Helvetica-Bold"/>
          <w:b/>
          <w:bCs/>
        </w:rPr>
      </w:pPr>
      <w:r>
        <w:rPr>
          <w:rFonts w:cs="Helvetica-Bold"/>
          <w:b/>
          <w:bCs/>
        </w:rPr>
        <w:t>Confidentiality</w:t>
      </w:r>
    </w:p>
    <w:p>
      <w:pPr>
        <w:autoSpaceDE w:val="0"/>
        <w:autoSpaceDN w:val="0"/>
        <w:adjustRightInd w:val="0"/>
        <w:spacing w:after="0" w:line="240" w:lineRule="auto"/>
        <w:rPr>
          <w:rFonts w:cs="Helvetica-Bold"/>
          <w:b/>
          <w:bCs/>
        </w:rPr>
      </w:pPr>
    </w:p>
    <w:p>
      <w:pPr>
        <w:autoSpaceDE w:val="0"/>
        <w:autoSpaceDN w:val="0"/>
        <w:adjustRightInd w:val="0"/>
        <w:spacing w:after="0" w:line="240" w:lineRule="auto"/>
        <w:rPr>
          <w:rFonts w:cs="Helvetica"/>
        </w:rPr>
      </w:pPr>
      <w:r>
        <w:rPr>
          <w:rFonts w:cs="Helvetica"/>
        </w:rPr>
        <w:t xml:space="preserve">Under new government guidance </w:t>
      </w:r>
      <w:proofErr w:type="gramStart"/>
      <w:r>
        <w:rPr>
          <w:rFonts w:cs="Helvetica"/>
        </w:rPr>
        <w:t>only information that is relevant and required to ensure the safety and well-being of all adults and young people that access The Beacon Folkestone will be stored by</w:t>
      </w:r>
      <w:proofErr w:type="gramEnd"/>
      <w:r>
        <w:rPr>
          <w:rFonts w:cs="Helvetica"/>
        </w:rPr>
        <w:t xml:space="preserve"> The Beacon Folkestone.</w:t>
      </w:r>
    </w:p>
    <w:p>
      <w:pPr>
        <w:autoSpaceDE w:val="0"/>
        <w:autoSpaceDN w:val="0"/>
        <w:adjustRightInd w:val="0"/>
        <w:spacing w:after="0" w:line="240" w:lineRule="auto"/>
        <w:rPr>
          <w:rFonts w:cs="Helvetica"/>
        </w:rPr>
      </w:pPr>
    </w:p>
    <w:p>
      <w:pPr>
        <w:spacing w:after="0"/>
      </w:pPr>
      <w:r>
        <w:rPr>
          <w:rFonts w:cs="Helvetica-BoldOblique"/>
          <w:b/>
          <w:bCs/>
          <w:i/>
          <w:iCs/>
        </w:rPr>
        <w:t xml:space="preserve">A Full copy of the schools Safeguarding Policy is available on request and on our Website - </w:t>
      </w:r>
      <w:hyperlink r:id="rId7" w:history="1">
        <w:r>
          <w:rPr>
            <w:rStyle w:val="Hyperlink"/>
            <w:rFonts w:cs="Helvetica-BoldOblique"/>
            <w:b/>
            <w:bCs/>
            <w:i/>
            <w:iCs/>
          </w:rPr>
          <w:t>http://thebeacon.kent.sch.uk</w:t>
        </w:r>
      </w:hyperlink>
      <w:r>
        <w:rPr>
          <w:rFonts w:cs="Helvetica-BoldOblique"/>
          <w:b/>
          <w:bCs/>
          <w:i/>
          <w:iCs/>
        </w:rPr>
        <w:t xml:space="preserve"> </w:t>
      </w:r>
    </w:p>
    <w:p>
      <w:pPr>
        <w:spacing w:after="0"/>
        <w:rPr>
          <w:rFonts w:cs="Helvetica-BoldOblique"/>
          <w:b/>
          <w:bCs/>
          <w:i/>
          <w:iCs/>
        </w:rPr>
      </w:pPr>
    </w:p>
    <w:p>
      <w:pPr>
        <w:spacing w:after="0"/>
        <w:rPr>
          <w:rFonts w:cs="Helvetica-BoldOblique"/>
          <w:b/>
          <w:bCs/>
          <w:i/>
          <w:iCs/>
        </w:rPr>
      </w:pPr>
      <w:r>
        <w:rPr>
          <w:rFonts w:cs="Helvetica-BoldOblique"/>
          <w:b/>
          <w:bCs/>
          <w:i/>
          <w:iCs/>
        </w:rPr>
        <w:t xml:space="preserve">If you require any further information or have any safeguarding concerns, you can contact the Multi Agency Support Team on </w:t>
      </w:r>
      <w:r>
        <w:rPr>
          <w:rFonts w:cs="Helvetica-BoldOblique"/>
          <w:b/>
          <w:bCs/>
          <w:i/>
          <w:iCs/>
          <w:u w:val="single"/>
        </w:rPr>
        <w:t>01303 847555.</w:t>
      </w:r>
    </w:p>
    <w:p>
      <w:pPr>
        <w:rPr>
          <w:rFonts w:cs="Helvetica-BoldOblique"/>
          <w:b/>
          <w:bCs/>
          <w:i/>
          <w:iCs/>
        </w:rPr>
      </w:pPr>
    </w:p>
    <w:p>
      <w:pPr>
        <w:rPr>
          <w:rFonts w:cs="Helvetica-BoldOblique"/>
          <w:b/>
          <w:bCs/>
          <w:i/>
          <w:iCs/>
        </w:rPr>
      </w:pPr>
    </w:p>
    <w:p>
      <w:pPr>
        <w:jc w:val="center"/>
        <w:rPr>
          <w:b/>
          <w:u w:val="single"/>
        </w:rPr>
      </w:pPr>
      <w:r>
        <w:rPr>
          <w:b/>
          <w:u w:val="single"/>
        </w:rPr>
        <w:t>The Beacon Equality Statement</w:t>
      </w:r>
    </w:p>
    <w:p>
      <w:pPr>
        <w:rPr>
          <w:color w:val="FF0000"/>
        </w:rPr>
      </w:pPr>
      <w:r>
        <w:t xml:space="preserve">The Beacon Folkestone is committed to ensuring equality of opportunity to all pupils, staff and visitors. Our Core Values are at the foremost of everything we do and we ensure all at The Beacon </w:t>
      </w:r>
      <w:proofErr w:type="gramStart"/>
      <w:r>
        <w:t>are treated</w:t>
      </w:r>
      <w:proofErr w:type="gramEnd"/>
      <w:r>
        <w:t xml:space="preserve"> equally regardless of age, disability, race, colour, ethnicity, nationality, religious belief, gender, gender identity, transgender, sexual orientation or marital status. </w:t>
      </w:r>
    </w:p>
    <w:p>
      <w:r>
        <w:t xml:space="preserve">The Beacon strives to be an all-inclusive environment and is always looking for opportunities to broaden the knowledge and experiences of everyone who is involved with both our services, and the staff and clients of those using the services of our multi-agency hub.   </w:t>
      </w:r>
    </w:p>
    <w:p>
      <w:r>
        <w:t xml:space="preserve">Our aims for this year are to ensure there are more equal opportunities for pupils, staff, their families and the wider community, regardless of their disability and this forms an integral part of our School Improvement Plan. </w:t>
      </w:r>
    </w:p>
    <w:p>
      <w:r>
        <w:t>The aims for 2016-2021 are to build and improve schemes to help bring down barriers for disabled children and young people and to broaden the experience of life both inside and outside the school community for all staff and pupils.</w:t>
      </w:r>
    </w:p>
    <w:p>
      <w:pPr>
        <w:rPr>
          <w:rFonts w:cs="Helvetica-BoldOblique"/>
          <w:b/>
          <w:bCs/>
          <w:i/>
          <w:iCs/>
        </w:rPr>
      </w:pPr>
    </w:p>
    <w:tbl>
      <w:tblPr>
        <w:tblpPr w:leftFromText="180" w:rightFromText="180" w:vertAnchor="page" w:horzAnchor="margin" w:tblpY="2885"/>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566"/>
        <w:gridCol w:w="2116"/>
        <w:gridCol w:w="2083"/>
        <w:gridCol w:w="1892"/>
      </w:tblGrid>
      <w:tr>
        <w:tc>
          <w:tcPr>
            <w:tcW w:w="1585" w:type="dxa"/>
            <w:shd w:val="clear" w:color="auto" w:fill="E6E6E6"/>
          </w:tcPr>
          <w:p>
            <w:pPr>
              <w:keepNext/>
              <w:tabs>
                <w:tab w:val="right" w:pos="9360"/>
              </w:tabs>
              <w:spacing w:before="120" w:after="120" w:line="240" w:lineRule="auto"/>
              <w:outlineLvl w:val="1"/>
              <w:rPr>
                <w:rFonts w:eastAsia="Times New Roman" w:cs="Tahoma"/>
                <w:b/>
                <w:sz w:val="24"/>
                <w:szCs w:val="24"/>
              </w:rPr>
            </w:pPr>
            <w:r>
              <w:rPr>
                <w:rFonts w:eastAsia="Times New Roman" w:cs="Tahoma"/>
                <w:b/>
                <w:sz w:val="24"/>
                <w:szCs w:val="24"/>
              </w:rPr>
              <w:lastRenderedPageBreak/>
              <w:t>Version</w:t>
            </w:r>
          </w:p>
        </w:tc>
        <w:tc>
          <w:tcPr>
            <w:tcW w:w="1566" w:type="dxa"/>
            <w:shd w:val="clear" w:color="auto" w:fill="E6E6E6"/>
          </w:tcPr>
          <w:p>
            <w:pPr>
              <w:spacing w:before="120" w:after="120" w:line="240" w:lineRule="auto"/>
              <w:rPr>
                <w:rFonts w:eastAsia="Times New Roman" w:cs="Tahoma"/>
                <w:b/>
                <w:sz w:val="24"/>
                <w:szCs w:val="24"/>
              </w:rPr>
            </w:pPr>
            <w:r>
              <w:rPr>
                <w:rFonts w:eastAsia="Times New Roman" w:cs="Tahoma"/>
                <w:b/>
                <w:sz w:val="24"/>
                <w:szCs w:val="24"/>
              </w:rPr>
              <w:t>Reviewed</w:t>
            </w:r>
          </w:p>
        </w:tc>
        <w:tc>
          <w:tcPr>
            <w:tcW w:w="2116" w:type="dxa"/>
            <w:shd w:val="clear" w:color="auto" w:fill="E6E6E6"/>
          </w:tcPr>
          <w:p>
            <w:pPr>
              <w:spacing w:before="120" w:after="120" w:line="240" w:lineRule="auto"/>
              <w:rPr>
                <w:rFonts w:eastAsia="Times New Roman" w:cs="Tahoma"/>
                <w:b/>
                <w:sz w:val="24"/>
                <w:szCs w:val="24"/>
              </w:rPr>
            </w:pPr>
            <w:r>
              <w:rPr>
                <w:rFonts w:eastAsia="Times New Roman" w:cs="Tahoma"/>
                <w:b/>
                <w:sz w:val="24"/>
                <w:szCs w:val="24"/>
              </w:rPr>
              <w:t>Reason for Update</w:t>
            </w:r>
          </w:p>
        </w:tc>
        <w:tc>
          <w:tcPr>
            <w:tcW w:w="2083" w:type="dxa"/>
            <w:shd w:val="clear" w:color="auto" w:fill="E6E6E6"/>
          </w:tcPr>
          <w:p>
            <w:pPr>
              <w:spacing w:before="120" w:after="120" w:line="240" w:lineRule="auto"/>
              <w:rPr>
                <w:rFonts w:eastAsia="Times New Roman" w:cs="Tahoma"/>
                <w:b/>
                <w:sz w:val="24"/>
                <w:szCs w:val="24"/>
              </w:rPr>
            </w:pPr>
            <w:r>
              <w:rPr>
                <w:rFonts w:eastAsia="Times New Roman" w:cs="Tahoma"/>
                <w:b/>
                <w:sz w:val="24"/>
                <w:szCs w:val="24"/>
              </w:rPr>
              <w:t xml:space="preserve">Next review date </w:t>
            </w:r>
          </w:p>
        </w:tc>
        <w:tc>
          <w:tcPr>
            <w:tcW w:w="1892" w:type="dxa"/>
            <w:shd w:val="clear" w:color="auto" w:fill="E6E6E6"/>
          </w:tcPr>
          <w:p>
            <w:pPr>
              <w:spacing w:before="120" w:after="120" w:line="240" w:lineRule="auto"/>
              <w:rPr>
                <w:rFonts w:eastAsia="Times New Roman" w:cs="Tahoma"/>
                <w:b/>
                <w:sz w:val="24"/>
                <w:szCs w:val="24"/>
              </w:rPr>
            </w:pPr>
            <w:r>
              <w:rPr>
                <w:rFonts w:eastAsia="Times New Roman" w:cs="Tahoma"/>
                <w:b/>
                <w:sz w:val="24"/>
                <w:szCs w:val="24"/>
              </w:rPr>
              <w:t>Governor agreement</w:t>
            </w:r>
          </w:p>
        </w:tc>
      </w:tr>
      <w:tr>
        <w:tc>
          <w:tcPr>
            <w:tcW w:w="1585" w:type="dxa"/>
          </w:tcPr>
          <w:p>
            <w:pPr>
              <w:keepNext/>
              <w:tabs>
                <w:tab w:val="right" w:pos="9360"/>
              </w:tabs>
              <w:spacing w:before="120" w:after="120" w:line="240" w:lineRule="auto"/>
              <w:outlineLvl w:val="1"/>
              <w:rPr>
                <w:rFonts w:eastAsia="Times New Roman" w:cs="Tahoma"/>
                <w:sz w:val="24"/>
                <w:szCs w:val="24"/>
              </w:rPr>
            </w:pPr>
            <w:r>
              <w:rPr>
                <w:rFonts w:eastAsia="Times New Roman" w:cs="Tahoma"/>
                <w:sz w:val="24"/>
                <w:szCs w:val="24"/>
              </w:rPr>
              <w:t>1</w:t>
            </w:r>
          </w:p>
        </w:tc>
        <w:tc>
          <w:tcPr>
            <w:tcW w:w="1566" w:type="dxa"/>
          </w:tcPr>
          <w:p>
            <w:pPr>
              <w:spacing w:before="120" w:after="120" w:line="240" w:lineRule="auto"/>
              <w:rPr>
                <w:rFonts w:eastAsia="Times New Roman" w:cs="Tahoma"/>
                <w:sz w:val="24"/>
                <w:szCs w:val="24"/>
              </w:rPr>
            </w:pPr>
            <w:r>
              <w:rPr>
                <w:rFonts w:eastAsia="Times New Roman" w:cs="Tahoma"/>
                <w:sz w:val="24"/>
                <w:szCs w:val="24"/>
              </w:rPr>
              <w:t>May 2017</w:t>
            </w:r>
          </w:p>
        </w:tc>
        <w:tc>
          <w:tcPr>
            <w:tcW w:w="2116" w:type="dxa"/>
          </w:tcPr>
          <w:p>
            <w:pPr>
              <w:spacing w:before="120" w:after="120" w:line="240" w:lineRule="auto"/>
              <w:rPr>
                <w:rFonts w:eastAsia="Times New Roman" w:cs="Tahoma"/>
                <w:sz w:val="24"/>
                <w:szCs w:val="24"/>
              </w:rPr>
            </w:pPr>
            <w:r>
              <w:rPr>
                <w:rFonts w:eastAsia="Times New Roman" w:cs="Tahoma"/>
                <w:sz w:val="24"/>
                <w:szCs w:val="24"/>
              </w:rPr>
              <w:t>New</w:t>
            </w:r>
          </w:p>
        </w:tc>
        <w:tc>
          <w:tcPr>
            <w:tcW w:w="2083" w:type="dxa"/>
          </w:tcPr>
          <w:p>
            <w:pPr>
              <w:spacing w:before="120" w:after="120" w:line="240" w:lineRule="auto"/>
              <w:rPr>
                <w:rFonts w:eastAsia="Times New Roman" w:cs="Tahoma"/>
                <w:sz w:val="24"/>
                <w:szCs w:val="24"/>
              </w:rPr>
            </w:pPr>
            <w:r>
              <w:rPr>
                <w:rFonts w:eastAsia="Times New Roman" w:cs="Tahoma"/>
                <w:sz w:val="24"/>
                <w:szCs w:val="24"/>
              </w:rPr>
              <w:t>May 2018</w:t>
            </w:r>
          </w:p>
        </w:tc>
        <w:tc>
          <w:tcPr>
            <w:tcW w:w="1892" w:type="dxa"/>
          </w:tcPr>
          <w:p>
            <w:pPr>
              <w:spacing w:before="120" w:after="120" w:line="240" w:lineRule="auto"/>
              <w:rPr>
                <w:rFonts w:eastAsia="Times New Roman" w:cs="Tahoma"/>
                <w:sz w:val="24"/>
                <w:szCs w:val="24"/>
              </w:rPr>
            </w:pPr>
            <w:r>
              <w:rPr>
                <w:rFonts w:eastAsia="Times New Roman" w:cs="Tahoma"/>
                <w:sz w:val="24"/>
                <w:szCs w:val="24"/>
              </w:rPr>
              <w:t>N/A</w:t>
            </w:r>
          </w:p>
        </w:tc>
      </w:tr>
      <w:tr>
        <w:tc>
          <w:tcPr>
            <w:tcW w:w="1585" w:type="dxa"/>
          </w:tcPr>
          <w:p>
            <w:pPr>
              <w:spacing w:before="120" w:after="120" w:line="240" w:lineRule="auto"/>
              <w:rPr>
                <w:rFonts w:eastAsia="Times New Roman" w:cs="Tahoma"/>
                <w:sz w:val="24"/>
                <w:szCs w:val="24"/>
              </w:rPr>
            </w:pPr>
            <w:r>
              <w:rPr>
                <w:rFonts w:eastAsia="Times New Roman" w:cs="Tahoma"/>
                <w:sz w:val="24"/>
                <w:szCs w:val="24"/>
              </w:rPr>
              <w:t>2</w:t>
            </w:r>
          </w:p>
        </w:tc>
        <w:tc>
          <w:tcPr>
            <w:tcW w:w="1566" w:type="dxa"/>
          </w:tcPr>
          <w:p>
            <w:pPr>
              <w:spacing w:before="120" w:after="120" w:line="240" w:lineRule="auto"/>
              <w:rPr>
                <w:rFonts w:eastAsia="Times New Roman" w:cs="Tahoma"/>
                <w:sz w:val="24"/>
                <w:szCs w:val="24"/>
              </w:rPr>
            </w:pPr>
            <w:r>
              <w:rPr>
                <w:rFonts w:eastAsia="Times New Roman" w:cs="Tahoma"/>
                <w:sz w:val="24"/>
                <w:szCs w:val="24"/>
              </w:rPr>
              <w:t>July 18</w:t>
            </w:r>
          </w:p>
        </w:tc>
        <w:tc>
          <w:tcPr>
            <w:tcW w:w="2116" w:type="dxa"/>
          </w:tcPr>
          <w:p>
            <w:pPr>
              <w:spacing w:before="120" w:after="120" w:line="240" w:lineRule="auto"/>
              <w:rPr>
                <w:rFonts w:eastAsia="Times New Roman" w:cs="Tahoma"/>
                <w:sz w:val="24"/>
                <w:szCs w:val="24"/>
              </w:rPr>
            </w:pPr>
            <w:r>
              <w:rPr>
                <w:rFonts w:eastAsia="Times New Roman" w:cs="Tahoma"/>
                <w:sz w:val="24"/>
                <w:szCs w:val="24"/>
              </w:rPr>
              <w:t>Annual Review</w:t>
            </w:r>
          </w:p>
        </w:tc>
        <w:tc>
          <w:tcPr>
            <w:tcW w:w="2083" w:type="dxa"/>
          </w:tcPr>
          <w:p>
            <w:pPr>
              <w:spacing w:before="120" w:after="120" w:line="240" w:lineRule="auto"/>
              <w:rPr>
                <w:rFonts w:eastAsia="Times New Roman" w:cs="Tahoma"/>
                <w:sz w:val="24"/>
                <w:szCs w:val="24"/>
              </w:rPr>
            </w:pPr>
            <w:r>
              <w:rPr>
                <w:rFonts w:eastAsia="Times New Roman" w:cs="Tahoma"/>
                <w:sz w:val="24"/>
                <w:szCs w:val="24"/>
              </w:rPr>
              <w:t>July 19</w:t>
            </w:r>
          </w:p>
        </w:tc>
        <w:tc>
          <w:tcPr>
            <w:tcW w:w="1892" w:type="dxa"/>
          </w:tcPr>
          <w:p>
            <w:pPr>
              <w:spacing w:before="120" w:after="120" w:line="240" w:lineRule="auto"/>
              <w:rPr>
                <w:rFonts w:eastAsia="Times New Roman" w:cs="Tahoma"/>
                <w:sz w:val="24"/>
                <w:szCs w:val="24"/>
              </w:rPr>
            </w:pPr>
            <w:r>
              <w:rPr>
                <w:rFonts w:eastAsia="Times New Roman" w:cs="Tahoma"/>
                <w:sz w:val="24"/>
                <w:szCs w:val="24"/>
              </w:rPr>
              <w:t>N/A</w:t>
            </w:r>
          </w:p>
        </w:tc>
      </w:tr>
      <w:tr>
        <w:tc>
          <w:tcPr>
            <w:tcW w:w="1585" w:type="dxa"/>
          </w:tcPr>
          <w:p>
            <w:pPr>
              <w:spacing w:before="120" w:after="120" w:line="240" w:lineRule="auto"/>
              <w:rPr>
                <w:rFonts w:eastAsia="Times New Roman" w:cs="Tahoma"/>
                <w:sz w:val="24"/>
                <w:szCs w:val="24"/>
              </w:rPr>
            </w:pPr>
            <w:r>
              <w:rPr>
                <w:rFonts w:eastAsia="Times New Roman" w:cs="Tahoma"/>
                <w:sz w:val="24"/>
                <w:szCs w:val="24"/>
              </w:rPr>
              <w:t>3</w:t>
            </w:r>
          </w:p>
        </w:tc>
        <w:tc>
          <w:tcPr>
            <w:tcW w:w="1566" w:type="dxa"/>
          </w:tcPr>
          <w:p>
            <w:pPr>
              <w:spacing w:before="120" w:after="120" w:line="240" w:lineRule="auto"/>
              <w:rPr>
                <w:rFonts w:eastAsia="Times New Roman" w:cs="Tahoma"/>
                <w:sz w:val="24"/>
                <w:szCs w:val="24"/>
              </w:rPr>
            </w:pPr>
            <w:r>
              <w:rPr>
                <w:rFonts w:eastAsia="Times New Roman" w:cs="Tahoma"/>
                <w:sz w:val="24"/>
                <w:szCs w:val="24"/>
              </w:rPr>
              <w:t>July 2019</w:t>
            </w:r>
          </w:p>
        </w:tc>
        <w:tc>
          <w:tcPr>
            <w:tcW w:w="2116" w:type="dxa"/>
          </w:tcPr>
          <w:p>
            <w:pPr>
              <w:spacing w:before="120" w:after="120" w:line="240" w:lineRule="auto"/>
              <w:rPr>
                <w:rFonts w:eastAsia="Times New Roman" w:cs="Tahoma"/>
                <w:sz w:val="24"/>
                <w:szCs w:val="24"/>
              </w:rPr>
            </w:pPr>
            <w:r>
              <w:rPr>
                <w:rFonts w:eastAsia="Times New Roman" w:cs="Tahoma"/>
                <w:sz w:val="24"/>
                <w:szCs w:val="24"/>
              </w:rPr>
              <w:t>Annual Review</w:t>
            </w:r>
          </w:p>
        </w:tc>
        <w:tc>
          <w:tcPr>
            <w:tcW w:w="2083" w:type="dxa"/>
          </w:tcPr>
          <w:p>
            <w:pPr>
              <w:spacing w:before="120" w:after="120" w:line="240" w:lineRule="auto"/>
              <w:rPr>
                <w:rFonts w:eastAsia="Times New Roman" w:cs="Tahoma"/>
                <w:sz w:val="24"/>
                <w:szCs w:val="24"/>
              </w:rPr>
            </w:pPr>
            <w:r>
              <w:rPr>
                <w:rFonts w:eastAsia="Times New Roman" w:cs="Tahoma"/>
                <w:sz w:val="24"/>
                <w:szCs w:val="24"/>
              </w:rPr>
              <w:t>July 2020</w:t>
            </w:r>
          </w:p>
        </w:tc>
        <w:tc>
          <w:tcPr>
            <w:tcW w:w="1892" w:type="dxa"/>
          </w:tcPr>
          <w:p>
            <w:pPr>
              <w:spacing w:before="120" w:after="120" w:line="240" w:lineRule="auto"/>
              <w:rPr>
                <w:rFonts w:eastAsia="Times New Roman" w:cs="Tahoma"/>
                <w:sz w:val="24"/>
                <w:szCs w:val="24"/>
              </w:rPr>
            </w:pPr>
            <w:r>
              <w:rPr>
                <w:rFonts w:eastAsia="Times New Roman" w:cs="Tahoma"/>
                <w:sz w:val="24"/>
                <w:szCs w:val="24"/>
              </w:rPr>
              <w:t>30.09.19</w:t>
            </w:r>
          </w:p>
        </w:tc>
      </w:tr>
      <w:tr>
        <w:tc>
          <w:tcPr>
            <w:tcW w:w="1585" w:type="dxa"/>
          </w:tcPr>
          <w:p>
            <w:pPr>
              <w:spacing w:before="120" w:after="120" w:line="240" w:lineRule="auto"/>
              <w:rPr>
                <w:rFonts w:eastAsia="Times New Roman" w:cs="Tahoma"/>
                <w:sz w:val="24"/>
                <w:szCs w:val="24"/>
              </w:rPr>
            </w:pPr>
          </w:p>
        </w:tc>
        <w:tc>
          <w:tcPr>
            <w:tcW w:w="1566" w:type="dxa"/>
          </w:tcPr>
          <w:p>
            <w:pPr>
              <w:spacing w:before="120" w:after="120" w:line="240" w:lineRule="auto"/>
              <w:rPr>
                <w:rFonts w:eastAsia="Times New Roman" w:cs="Tahoma"/>
                <w:sz w:val="24"/>
                <w:szCs w:val="24"/>
              </w:rPr>
            </w:pPr>
          </w:p>
        </w:tc>
        <w:tc>
          <w:tcPr>
            <w:tcW w:w="2116" w:type="dxa"/>
          </w:tcPr>
          <w:p>
            <w:pPr>
              <w:spacing w:before="120" w:after="120" w:line="240" w:lineRule="auto"/>
              <w:rPr>
                <w:rFonts w:eastAsia="Times New Roman" w:cs="Tahoma"/>
                <w:sz w:val="24"/>
                <w:szCs w:val="24"/>
              </w:rPr>
            </w:pPr>
          </w:p>
        </w:tc>
        <w:tc>
          <w:tcPr>
            <w:tcW w:w="2083" w:type="dxa"/>
          </w:tcPr>
          <w:p>
            <w:pPr>
              <w:spacing w:before="120" w:after="120" w:line="240" w:lineRule="auto"/>
              <w:rPr>
                <w:rFonts w:eastAsia="Times New Roman" w:cs="Tahoma"/>
                <w:sz w:val="24"/>
                <w:szCs w:val="24"/>
              </w:rPr>
            </w:pPr>
          </w:p>
        </w:tc>
        <w:tc>
          <w:tcPr>
            <w:tcW w:w="1892" w:type="dxa"/>
          </w:tcPr>
          <w:p>
            <w:pPr>
              <w:spacing w:before="120" w:after="120" w:line="240" w:lineRule="auto"/>
              <w:rPr>
                <w:rFonts w:eastAsia="Times New Roman" w:cs="Tahoma"/>
                <w:sz w:val="24"/>
                <w:szCs w:val="24"/>
              </w:rPr>
            </w:pPr>
          </w:p>
        </w:tc>
      </w:tr>
      <w:tr>
        <w:tc>
          <w:tcPr>
            <w:tcW w:w="1585" w:type="dxa"/>
          </w:tcPr>
          <w:p>
            <w:pPr>
              <w:spacing w:before="120" w:after="120" w:line="240" w:lineRule="auto"/>
              <w:rPr>
                <w:rFonts w:eastAsia="Times New Roman" w:cs="Tahoma"/>
                <w:sz w:val="24"/>
                <w:szCs w:val="24"/>
              </w:rPr>
            </w:pPr>
          </w:p>
        </w:tc>
        <w:tc>
          <w:tcPr>
            <w:tcW w:w="1566" w:type="dxa"/>
          </w:tcPr>
          <w:p>
            <w:pPr>
              <w:spacing w:before="120" w:after="120" w:line="240" w:lineRule="auto"/>
              <w:rPr>
                <w:rFonts w:eastAsia="Times New Roman" w:cs="Tahoma"/>
                <w:sz w:val="24"/>
                <w:szCs w:val="24"/>
              </w:rPr>
            </w:pPr>
          </w:p>
        </w:tc>
        <w:tc>
          <w:tcPr>
            <w:tcW w:w="2116" w:type="dxa"/>
          </w:tcPr>
          <w:p>
            <w:pPr>
              <w:spacing w:before="120" w:after="120" w:line="240" w:lineRule="auto"/>
              <w:rPr>
                <w:rFonts w:eastAsia="Times New Roman" w:cs="Tahoma"/>
                <w:sz w:val="24"/>
                <w:szCs w:val="24"/>
              </w:rPr>
            </w:pPr>
          </w:p>
        </w:tc>
        <w:tc>
          <w:tcPr>
            <w:tcW w:w="2083" w:type="dxa"/>
          </w:tcPr>
          <w:p>
            <w:pPr>
              <w:spacing w:before="120" w:after="120" w:line="240" w:lineRule="auto"/>
              <w:rPr>
                <w:rFonts w:eastAsia="Times New Roman" w:cs="Tahoma"/>
                <w:sz w:val="24"/>
                <w:szCs w:val="24"/>
              </w:rPr>
            </w:pPr>
          </w:p>
        </w:tc>
        <w:tc>
          <w:tcPr>
            <w:tcW w:w="1892" w:type="dxa"/>
          </w:tcPr>
          <w:p>
            <w:pPr>
              <w:spacing w:before="120" w:after="120" w:line="240" w:lineRule="auto"/>
              <w:rPr>
                <w:rFonts w:eastAsia="Times New Roman" w:cs="Tahoma"/>
                <w:sz w:val="24"/>
                <w:szCs w:val="24"/>
              </w:rPr>
            </w:pPr>
          </w:p>
        </w:tc>
      </w:tr>
      <w:tr>
        <w:tc>
          <w:tcPr>
            <w:tcW w:w="1585" w:type="dxa"/>
          </w:tcPr>
          <w:p>
            <w:pPr>
              <w:spacing w:before="120" w:after="120" w:line="240" w:lineRule="auto"/>
              <w:rPr>
                <w:rFonts w:eastAsia="Times New Roman" w:cs="Tahoma"/>
                <w:sz w:val="24"/>
                <w:szCs w:val="24"/>
              </w:rPr>
            </w:pPr>
          </w:p>
        </w:tc>
        <w:tc>
          <w:tcPr>
            <w:tcW w:w="1566" w:type="dxa"/>
          </w:tcPr>
          <w:p>
            <w:pPr>
              <w:spacing w:before="120" w:after="120" w:line="240" w:lineRule="auto"/>
              <w:rPr>
                <w:rFonts w:eastAsia="Times New Roman" w:cs="Tahoma"/>
                <w:sz w:val="24"/>
                <w:szCs w:val="24"/>
              </w:rPr>
            </w:pPr>
          </w:p>
        </w:tc>
        <w:tc>
          <w:tcPr>
            <w:tcW w:w="2116" w:type="dxa"/>
          </w:tcPr>
          <w:p>
            <w:pPr>
              <w:spacing w:before="120" w:after="120" w:line="240" w:lineRule="auto"/>
              <w:rPr>
                <w:rFonts w:eastAsia="Times New Roman" w:cs="Tahoma"/>
                <w:sz w:val="24"/>
                <w:szCs w:val="24"/>
              </w:rPr>
            </w:pPr>
          </w:p>
        </w:tc>
        <w:tc>
          <w:tcPr>
            <w:tcW w:w="2083" w:type="dxa"/>
          </w:tcPr>
          <w:p>
            <w:pPr>
              <w:spacing w:before="120" w:after="120" w:line="240" w:lineRule="auto"/>
              <w:rPr>
                <w:rFonts w:eastAsia="Times New Roman" w:cs="Tahoma"/>
                <w:sz w:val="24"/>
                <w:szCs w:val="24"/>
              </w:rPr>
            </w:pPr>
          </w:p>
        </w:tc>
        <w:tc>
          <w:tcPr>
            <w:tcW w:w="1892" w:type="dxa"/>
          </w:tcPr>
          <w:p>
            <w:pPr>
              <w:spacing w:before="120" w:after="120" w:line="240" w:lineRule="auto"/>
              <w:rPr>
                <w:rFonts w:eastAsia="Times New Roman" w:cs="Tahoma"/>
                <w:sz w:val="24"/>
                <w:szCs w:val="24"/>
              </w:rPr>
            </w:pPr>
          </w:p>
        </w:tc>
      </w:tr>
    </w:tbl>
    <w:p>
      <w:pPr>
        <w:spacing w:after="0"/>
        <w:jc w:val="center"/>
        <w:rPr>
          <w:rFonts w:cs="Helvetica-BoldOblique"/>
          <w:b/>
          <w:bCs/>
          <w:iCs/>
        </w:rPr>
      </w:pPr>
      <w:bookmarkStart w:id="0" w:name="_GoBack"/>
      <w:bookmarkEnd w:id="0"/>
      <w:r>
        <w:rPr>
          <w:rFonts w:cs="Helvetica-BoldOblique"/>
          <w:b/>
          <w:bCs/>
          <w:iCs/>
        </w:rPr>
        <w:t>UPDATED SCHEDULE</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27AC2-257B-4D44-A624-2385C037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STitle">
    <w:name w:val="SPS Title"/>
    <w:basedOn w:val="Normal"/>
    <w:link w:val="SPSTitleChar"/>
    <w:qFormat/>
    <w:pPr>
      <w:spacing w:after="0" w:line="240" w:lineRule="auto"/>
      <w:ind w:left="720"/>
    </w:pPr>
    <w:rPr>
      <w:rFonts w:ascii="Arial" w:eastAsia="Times New Roman" w:hAnsi="Arial" w:cs="Arial"/>
      <w:color w:val="0070C0"/>
      <w:sz w:val="96"/>
      <w:szCs w:val="96"/>
      <w:lang w:val="en-US"/>
    </w:rPr>
  </w:style>
  <w:style w:type="character" w:customStyle="1" w:styleId="SPSTitleChar">
    <w:name w:val="SPS Title Char"/>
    <w:link w:val="SPSTitle"/>
    <w:rPr>
      <w:rFonts w:ascii="Arial" w:eastAsia="Times New Roman" w:hAnsi="Arial" w:cs="Arial"/>
      <w:color w:val="0070C0"/>
      <w:sz w:val="96"/>
      <w:szCs w:val="96"/>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beacon.kent.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5954-DD6F-4AA9-A1FA-21D1EFAF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DCD43767</Template>
  <TotalTime>1</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PETERS</dc:creator>
  <cp:keywords/>
  <dc:description/>
  <cp:lastModifiedBy>Loren.Freeland</cp:lastModifiedBy>
  <cp:revision>4</cp:revision>
  <cp:lastPrinted>2017-05-18T08:34:00Z</cp:lastPrinted>
  <dcterms:created xsi:type="dcterms:W3CDTF">2019-09-12T13:59:00Z</dcterms:created>
  <dcterms:modified xsi:type="dcterms:W3CDTF">2019-10-04T09:30:00Z</dcterms:modified>
</cp:coreProperties>
</file>