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D1" w:rsidRPr="009D40D3" w:rsidRDefault="003B6BFE" w:rsidP="00810B84">
      <w:pPr>
        <w:jc w:val="center"/>
        <w:rPr>
          <w:rFonts w:ascii="Arial" w:hAnsi="Arial" w:cs="Arial"/>
          <w:b/>
          <w:sz w:val="24"/>
        </w:rPr>
      </w:pPr>
      <w:r>
        <w:rPr>
          <w:rFonts w:ascii="Arial" w:hAnsi="Arial" w:cs="Arial"/>
          <w:b/>
          <w:sz w:val="24"/>
        </w:rPr>
        <w:t>Key Stage Two Information 2020 (Academic Year 2019/2020</w:t>
      </w:r>
      <w:r w:rsidR="009D40D3" w:rsidRPr="009D40D3">
        <w:rPr>
          <w:rFonts w:ascii="Arial" w:hAnsi="Arial" w:cs="Arial"/>
          <w:b/>
          <w:sz w:val="24"/>
        </w:rPr>
        <w:t>)</w:t>
      </w:r>
    </w:p>
    <w:p w:rsidR="00810B84" w:rsidRPr="00810B84" w:rsidRDefault="00810B84" w:rsidP="00810B84">
      <w:pPr>
        <w:rPr>
          <w:rFonts w:ascii="Arial" w:hAnsi="Arial" w:cs="Arial"/>
          <w:color w:val="000000"/>
          <w:sz w:val="24"/>
          <w:lang w:eastAsia="en-GB"/>
        </w:rPr>
      </w:pPr>
      <w:r w:rsidRPr="00810B84">
        <w:rPr>
          <w:rFonts w:ascii="Arial" w:hAnsi="Arial" w:cs="Arial"/>
          <w:color w:val="000000"/>
          <w:sz w:val="24"/>
          <w:lang w:eastAsia="en-GB"/>
        </w:rPr>
        <w:t>Due to the unique set of circumstances we have found ourselves in during the CV-19 pandemic, all progress s</w:t>
      </w:r>
      <w:r>
        <w:rPr>
          <w:rFonts w:ascii="Arial" w:hAnsi="Arial" w:cs="Arial"/>
          <w:color w:val="000000"/>
          <w:sz w:val="24"/>
          <w:lang w:eastAsia="en-GB"/>
        </w:rPr>
        <w:t>ummaries and information are</w:t>
      </w:r>
      <w:r w:rsidRPr="00810B84">
        <w:rPr>
          <w:rFonts w:ascii="Arial" w:hAnsi="Arial" w:cs="Arial"/>
          <w:color w:val="000000"/>
          <w:sz w:val="24"/>
          <w:lang w:eastAsia="en-GB"/>
        </w:rPr>
        <w:t xml:space="preserve"> based on Spring data (April 2020). We appreciate this doesn’t capture all the brilliant work undertaken by our teachers in Terms 5 and 6 or the progress made by our pupils during this time. Their progress and learning has been greatly supported by parents and carers accessing our extensive range of learning through alternative platforms throughout this pandemic period. We hope to see this captured through the data collection and analysis during Term 2 2020-2021, which will define our interventions and narrowing of academic gaps beyond our core recovery curriculum and emotional wellbeing programmes that are the priority in Term 1 (September 2020). </w:t>
      </w:r>
    </w:p>
    <w:p w:rsidR="00810B84" w:rsidRDefault="00810B84" w:rsidP="00810B84">
      <w:pPr>
        <w:rPr>
          <w:rFonts w:ascii="Arial" w:hAnsi="Arial" w:cs="Arial"/>
          <w:sz w:val="24"/>
        </w:rPr>
      </w:pPr>
      <w:r w:rsidRPr="009D40D3">
        <w:rPr>
          <w:rFonts w:ascii="Arial" w:hAnsi="Arial" w:cs="Arial"/>
          <w:sz w:val="24"/>
        </w:rPr>
        <w:t>All our end of Key Stage Two p</w:t>
      </w:r>
      <w:r>
        <w:rPr>
          <w:rFonts w:ascii="Arial" w:hAnsi="Arial" w:cs="Arial"/>
          <w:sz w:val="24"/>
        </w:rPr>
        <w:t>upils (27 Year 6 pupils) in 2020</w:t>
      </w:r>
      <w:r w:rsidRPr="009D40D3">
        <w:rPr>
          <w:rFonts w:ascii="Arial" w:hAnsi="Arial" w:cs="Arial"/>
          <w:sz w:val="24"/>
        </w:rPr>
        <w:t xml:space="preserve"> were working below the leve</w:t>
      </w:r>
      <w:r>
        <w:rPr>
          <w:rFonts w:ascii="Arial" w:hAnsi="Arial" w:cs="Arial"/>
          <w:sz w:val="24"/>
        </w:rPr>
        <w:t>l of the test and therefore would not have been</w:t>
      </w:r>
      <w:r w:rsidRPr="009D40D3">
        <w:rPr>
          <w:rFonts w:ascii="Arial" w:hAnsi="Arial" w:cs="Arial"/>
          <w:sz w:val="24"/>
        </w:rPr>
        <w:t xml:space="preserve"> entered for SAT’s. </w:t>
      </w:r>
    </w:p>
    <w:p w:rsidR="00F543D1" w:rsidRPr="00526F78" w:rsidRDefault="006014BC" w:rsidP="00F543D1">
      <w:pPr>
        <w:rPr>
          <w:rFonts w:ascii="Arial" w:hAnsi="Arial" w:cs="Arial"/>
          <w:b/>
          <w:sz w:val="24"/>
        </w:rPr>
      </w:pPr>
      <w:bookmarkStart w:id="0" w:name="_GoBack"/>
      <w:bookmarkEnd w:id="0"/>
      <w:r>
        <w:rPr>
          <w:rFonts w:ascii="Arial" w:hAnsi="Arial" w:cs="Arial"/>
          <w:b/>
          <w:sz w:val="24"/>
        </w:rPr>
        <w:t>Progress of Year 6 Pupils – 2020</w:t>
      </w:r>
    </w:p>
    <w:tbl>
      <w:tblPr>
        <w:tblStyle w:val="TableGrid"/>
        <w:tblW w:w="0" w:type="auto"/>
        <w:tblLook w:val="04A0" w:firstRow="1" w:lastRow="0" w:firstColumn="1" w:lastColumn="0" w:noHBand="0" w:noVBand="1"/>
      </w:tblPr>
      <w:tblGrid>
        <w:gridCol w:w="1588"/>
        <w:gridCol w:w="1516"/>
        <w:gridCol w:w="1516"/>
        <w:gridCol w:w="1516"/>
        <w:gridCol w:w="1689"/>
        <w:gridCol w:w="1191"/>
      </w:tblGrid>
      <w:tr w:rsidR="009D40D3" w:rsidRPr="009D40D3" w:rsidTr="009D40D3">
        <w:tc>
          <w:tcPr>
            <w:tcW w:w="1592" w:type="dxa"/>
          </w:tcPr>
          <w:p w:rsidR="009D40D3" w:rsidRPr="009D40D3" w:rsidRDefault="009D40D3" w:rsidP="00F543D1">
            <w:pPr>
              <w:rPr>
                <w:rFonts w:ascii="Arial" w:hAnsi="Arial" w:cs="Arial"/>
                <w:sz w:val="24"/>
              </w:rPr>
            </w:pPr>
          </w:p>
        </w:tc>
        <w:tc>
          <w:tcPr>
            <w:tcW w:w="1518" w:type="dxa"/>
          </w:tcPr>
          <w:p w:rsidR="009D40D3" w:rsidRPr="009D40D3" w:rsidRDefault="009D40D3" w:rsidP="00F543D1">
            <w:pPr>
              <w:rPr>
                <w:rFonts w:ascii="Arial" w:hAnsi="Arial" w:cs="Arial"/>
                <w:sz w:val="24"/>
              </w:rPr>
            </w:pPr>
            <w:r w:rsidRPr="009D40D3">
              <w:rPr>
                <w:rFonts w:ascii="Arial" w:hAnsi="Arial" w:cs="Arial"/>
                <w:sz w:val="24"/>
              </w:rPr>
              <w:t>Below expected %</w:t>
            </w:r>
          </w:p>
        </w:tc>
        <w:tc>
          <w:tcPr>
            <w:tcW w:w="1518" w:type="dxa"/>
          </w:tcPr>
          <w:p w:rsidR="009D40D3" w:rsidRPr="009D40D3" w:rsidRDefault="009D40D3" w:rsidP="00F543D1">
            <w:pPr>
              <w:rPr>
                <w:rFonts w:ascii="Arial" w:hAnsi="Arial" w:cs="Arial"/>
                <w:sz w:val="24"/>
              </w:rPr>
            </w:pPr>
            <w:r w:rsidRPr="009D40D3">
              <w:rPr>
                <w:rFonts w:ascii="Arial" w:hAnsi="Arial" w:cs="Arial"/>
                <w:sz w:val="24"/>
              </w:rPr>
              <w:t>Expected %</w:t>
            </w:r>
          </w:p>
        </w:tc>
        <w:tc>
          <w:tcPr>
            <w:tcW w:w="1518" w:type="dxa"/>
          </w:tcPr>
          <w:p w:rsidR="009D40D3" w:rsidRPr="009D40D3" w:rsidRDefault="009D40D3" w:rsidP="00F543D1">
            <w:pPr>
              <w:rPr>
                <w:rFonts w:ascii="Arial" w:hAnsi="Arial" w:cs="Arial"/>
                <w:sz w:val="24"/>
              </w:rPr>
            </w:pPr>
            <w:r w:rsidRPr="009D40D3">
              <w:rPr>
                <w:rFonts w:ascii="Arial" w:hAnsi="Arial" w:cs="Arial"/>
                <w:sz w:val="24"/>
              </w:rPr>
              <w:t>Betters than expected (Good) %</w:t>
            </w:r>
          </w:p>
        </w:tc>
        <w:tc>
          <w:tcPr>
            <w:tcW w:w="1689" w:type="dxa"/>
          </w:tcPr>
          <w:p w:rsidR="009D40D3" w:rsidRPr="009D40D3" w:rsidRDefault="00BE3FA1" w:rsidP="00F543D1">
            <w:pPr>
              <w:rPr>
                <w:rFonts w:ascii="Arial" w:hAnsi="Arial" w:cs="Arial"/>
                <w:sz w:val="24"/>
              </w:rPr>
            </w:pPr>
            <w:r>
              <w:rPr>
                <w:rFonts w:ascii="Arial" w:hAnsi="Arial" w:cs="Arial"/>
                <w:sz w:val="24"/>
              </w:rPr>
              <w:t xml:space="preserve">“Well above” expected </w:t>
            </w:r>
            <w:r w:rsidR="009D40D3" w:rsidRPr="009D40D3">
              <w:rPr>
                <w:rFonts w:ascii="Arial" w:hAnsi="Arial" w:cs="Arial"/>
                <w:sz w:val="24"/>
              </w:rPr>
              <w:t>progress (Outstanding) %</w:t>
            </w:r>
          </w:p>
        </w:tc>
        <w:tc>
          <w:tcPr>
            <w:tcW w:w="1181" w:type="dxa"/>
          </w:tcPr>
          <w:p w:rsidR="009D40D3" w:rsidRPr="009D40D3" w:rsidRDefault="009D40D3" w:rsidP="00F543D1">
            <w:pPr>
              <w:rPr>
                <w:rFonts w:ascii="Arial" w:hAnsi="Arial" w:cs="Arial"/>
                <w:sz w:val="24"/>
              </w:rPr>
            </w:pPr>
            <w:r w:rsidRPr="009D40D3">
              <w:rPr>
                <w:rFonts w:ascii="Arial" w:hAnsi="Arial" w:cs="Arial"/>
                <w:sz w:val="24"/>
              </w:rPr>
              <w:t>Total expected or better %</w:t>
            </w:r>
          </w:p>
        </w:tc>
      </w:tr>
      <w:tr w:rsidR="009D40D3" w:rsidRPr="009D40D3" w:rsidTr="009D40D3">
        <w:tc>
          <w:tcPr>
            <w:tcW w:w="1592" w:type="dxa"/>
          </w:tcPr>
          <w:p w:rsidR="009D40D3" w:rsidRPr="009D40D3" w:rsidRDefault="009D40D3" w:rsidP="00F543D1">
            <w:pPr>
              <w:rPr>
                <w:rFonts w:ascii="Arial" w:hAnsi="Arial" w:cs="Arial"/>
                <w:sz w:val="24"/>
              </w:rPr>
            </w:pPr>
            <w:r w:rsidRPr="009D40D3">
              <w:rPr>
                <w:rFonts w:ascii="Arial" w:hAnsi="Arial" w:cs="Arial"/>
                <w:sz w:val="24"/>
              </w:rPr>
              <w:t>Maths</w:t>
            </w:r>
          </w:p>
        </w:tc>
        <w:tc>
          <w:tcPr>
            <w:tcW w:w="1518" w:type="dxa"/>
          </w:tcPr>
          <w:p w:rsidR="009D40D3" w:rsidRPr="009D40D3" w:rsidRDefault="006014BC" w:rsidP="00F543D1">
            <w:pPr>
              <w:rPr>
                <w:rFonts w:ascii="Arial" w:hAnsi="Arial" w:cs="Arial"/>
                <w:sz w:val="24"/>
              </w:rPr>
            </w:pPr>
            <w:r>
              <w:rPr>
                <w:rFonts w:ascii="Arial" w:hAnsi="Arial" w:cs="Arial"/>
                <w:sz w:val="24"/>
              </w:rPr>
              <w:t>19</w:t>
            </w:r>
          </w:p>
        </w:tc>
        <w:tc>
          <w:tcPr>
            <w:tcW w:w="1518" w:type="dxa"/>
          </w:tcPr>
          <w:p w:rsidR="009D40D3" w:rsidRPr="009D40D3" w:rsidRDefault="006014BC" w:rsidP="00F543D1">
            <w:pPr>
              <w:rPr>
                <w:rFonts w:ascii="Arial" w:hAnsi="Arial" w:cs="Arial"/>
                <w:sz w:val="24"/>
              </w:rPr>
            </w:pPr>
            <w:r>
              <w:rPr>
                <w:rFonts w:ascii="Arial" w:hAnsi="Arial" w:cs="Arial"/>
                <w:sz w:val="24"/>
              </w:rPr>
              <w:t>11</w:t>
            </w:r>
          </w:p>
        </w:tc>
        <w:tc>
          <w:tcPr>
            <w:tcW w:w="1518" w:type="dxa"/>
          </w:tcPr>
          <w:p w:rsidR="009D40D3" w:rsidRPr="009D40D3" w:rsidRDefault="006014BC" w:rsidP="00F543D1">
            <w:pPr>
              <w:rPr>
                <w:rFonts w:ascii="Arial" w:hAnsi="Arial" w:cs="Arial"/>
                <w:sz w:val="24"/>
              </w:rPr>
            </w:pPr>
            <w:r>
              <w:rPr>
                <w:rFonts w:ascii="Arial" w:hAnsi="Arial" w:cs="Arial"/>
                <w:sz w:val="24"/>
              </w:rPr>
              <w:t>22</w:t>
            </w:r>
          </w:p>
        </w:tc>
        <w:tc>
          <w:tcPr>
            <w:tcW w:w="1689" w:type="dxa"/>
          </w:tcPr>
          <w:p w:rsidR="009D40D3" w:rsidRPr="009D40D3" w:rsidRDefault="006014BC" w:rsidP="00F543D1">
            <w:pPr>
              <w:rPr>
                <w:rFonts w:ascii="Arial" w:hAnsi="Arial" w:cs="Arial"/>
                <w:sz w:val="24"/>
              </w:rPr>
            </w:pPr>
            <w:r>
              <w:rPr>
                <w:rFonts w:ascii="Arial" w:hAnsi="Arial" w:cs="Arial"/>
                <w:sz w:val="24"/>
              </w:rPr>
              <w:t>48</w:t>
            </w:r>
          </w:p>
        </w:tc>
        <w:tc>
          <w:tcPr>
            <w:tcW w:w="1181" w:type="dxa"/>
          </w:tcPr>
          <w:p w:rsidR="009D40D3" w:rsidRPr="009D40D3" w:rsidRDefault="006014BC" w:rsidP="00F543D1">
            <w:pPr>
              <w:rPr>
                <w:rFonts w:ascii="Arial" w:hAnsi="Arial" w:cs="Arial"/>
                <w:sz w:val="24"/>
              </w:rPr>
            </w:pPr>
            <w:r>
              <w:rPr>
                <w:rFonts w:ascii="Arial" w:hAnsi="Arial" w:cs="Arial"/>
                <w:sz w:val="24"/>
              </w:rPr>
              <w:t>81</w:t>
            </w:r>
          </w:p>
        </w:tc>
      </w:tr>
      <w:tr w:rsidR="009D40D3" w:rsidRPr="009D40D3" w:rsidTr="009D40D3">
        <w:tc>
          <w:tcPr>
            <w:tcW w:w="1592" w:type="dxa"/>
          </w:tcPr>
          <w:p w:rsidR="009D40D3" w:rsidRPr="009D40D3" w:rsidRDefault="009D40D3" w:rsidP="00F543D1">
            <w:pPr>
              <w:rPr>
                <w:rFonts w:ascii="Arial" w:hAnsi="Arial" w:cs="Arial"/>
                <w:sz w:val="24"/>
              </w:rPr>
            </w:pPr>
            <w:r w:rsidRPr="009D40D3">
              <w:rPr>
                <w:rFonts w:ascii="Arial" w:hAnsi="Arial" w:cs="Arial"/>
                <w:sz w:val="24"/>
              </w:rPr>
              <w:t>Reading</w:t>
            </w:r>
          </w:p>
        </w:tc>
        <w:tc>
          <w:tcPr>
            <w:tcW w:w="1518" w:type="dxa"/>
          </w:tcPr>
          <w:p w:rsidR="009D40D3" w:rsidRPr="009D40D3" w:rsidRDefault="006014BC" w:rsidP="00F543D1">
            <w:pPr>
              <w:rPr>
                <w:rFonts w:ascii="Arial" w:hAnsi="Arial" w:cs="Arial"/>
                <w:sz w:val="24"/>
              </w:rPr>
            </w:pPr>
            <w:r>
              <w:rPr>
                <w:rFonts w:ascii="Arial" w:hAnsi="Arial" w:cs="Arial"/>
                <w:sz w:val="24"/>
              </w:rPr>
              <w:t>37</w:t>
            </w:r>
          </w:p>
        </w:tc>
        <w:tc>
          <w:tcPr>
            <w:tcW w:w="1518" w:type="dxa"/>
          </w:tcPr>
          <w:p w:rsidR="009D40D3" w:rsidRPr="009D40D3" w:rsidRDefault="006014BC" w:rsidP="00F543D1">
            <w:pPr>
              <w:rPr>
                <w:rFonts w:ascii="Arial" w:hAnsi="Arial" w:cs="Arial"/>
                <w:sz w:val="24"/>
              </w:rPr>
            </w:pPr>
            <w:r>
              <w:rPr>
                <w:rFonts w:ascii="Arial" w:hAnsi="Arial" w:cs="Arial"/>
                <w:sz w:val="24"/>
              </w:rPr>
              <w:t>15</w:t>
            </w:r>
          </w:p>
        </w:tc>
        <w:tc>
          <w:tcPr>
            <w:tcW w:w="1518" w:type="dxa"/>
          </w:tcPr>
          <w:p w:rsidR="009D40D3" w:rsidRPr="009D40D3" w:rsidRDefault="006014BC" w:rsidP="00F543D1">
            <w:pPr>
              <w:rPr>
                <w:rFonts w:ascii="Arial" w:hAnsi="Arial" w:cs="Arial"/>
                <w:sz w:val="24"/>
              </w:rPr>
            </w:pPr>
            <w:r>
              <w:rPr>
                <w:rFonts w:ascii="Arial" w:hAnsi="Arial" w:cs="Arial"/>
                <w:sz w:val="24"/>
              </w:rPr>
              <w:t>4</w:t>
            </w:r>
          </w:p>
        </w:tc>
        <w:tc>
          <w:tcPr>
            <w:tcW w:w="1689" w:type="dxa"/>
          </w:tcPr>
          <w:p w:rsidR="009D40D3" w:rsidRPr="009D40D3" w:rsidRDefault="006014BC" w:rsidP="00F543D1">
            <w:pPr>
              <w:rPr>
                <w:rFonts w:ascii="Arial" w:hAnsi="Arial" w:cs="Arial"/>
                <w:sz w:val="24"/>
              </w:rPr>
            </w:pPr>
            <w:r>
              <w:rPr>
                <w:rFonts w:ascii="Arial" w:hAnsi="Arial" w:cs="Arial"/>
                <w:sz w:val="24"/>
              </w:rPr>
              <w:t>44</w:t>
            </w:r>
          </w:p>
        </w:tc>
        <w:tc>
          <w:tcPr>
            <w:tcW w:w="1181" w:type="dxa"/>
          </w:tcPr>
          <w:p w:rsidR="009D40D3" w:rsidRPr="009D40D3" w:rsidRDefault="006014BC" w:rsidP="00F543D1">
            <w:pPr>
              <w:rPr>
                <w:rFonts w:ascii="Arial" w:hAnsi="Arial" w:cs="Arial"/>
                <w:sz w:val="24"/>
              </w:rPr>
            </w:pPr>
            <w:r>
              <w:rPr>
                <w:rFonts w:ascii="Arial" w:hAnsi="Arial" w:cs="Arial"/>
                <w:sz w:val="24"/>
              </w:rPr>
              <w:t>63</w:t>
            </w:r>
          </w:p>
        </w:tc>
      </w:tr>
      <w:tr w:rsidR="009D40D3" w:rsidRPr="009D40D3" w:rsidTr="009D40D3">
        <w:tc>
          <w:tcPr>
            <w:tcW w:w="1592" w:type="dxa"/>
          </w:tcPr>
          <w:p w:rsidR="009D40D3" w:rsidRPr="009D40D3" w:rsidRDefault="000065E7" w:rsidP="00F543D1">
            <w:pPr>
              <w:rPr>
                <w:rFonts w:ascii="Arial" w:hAnsi="Arial" w:cs="Arial"/>
                <w:sz w:val="24"/>
              </w:rPr>
            </w:pPr>
            <w:r>
              <w:rPr>
                <w:rFonts w:ascii="Arial" w:hAnsi="Arial" w:cs="Arial"/>
                <w:sz w:val="24"/>
              </w:rPr>
              <w:t>English</w:t>
            </w:r>
          </w:p>
        </w:tc>
        <w:tc>
          <w:tcPr>
            <w:tcW w:w="1518" w:type="dxa"/>
          </w:tcPr>
          <w:p w:rsidR="009D40D3" w:rsidRPr="009D40D3" w:rsidRDefault="006014BC" w:rsidP="00F543D1">
            <w:pPr>
              <w:rPr>
                <w:rFonts w:ascii="Arial" w:hAnsi="Arial" w:cs="Arial"/>
                <w:sz w:val="24"/>
              </w:rPr>
            </w:pPr>
            <w:r>
              <w:rPr>
                <w:rFonts w:ascii="Arial" w:hAnsi="Arial" w:cs="Arial"/>
                <w:sz w:val="24"/>
              </w:rPr>
              <w:t>30</w:t>
            </w:r>
          </w:p>
        </w:tc>
        <w:tc>
          <w:tcPr>
            <w:tcW w:w="1518" w:type="dxa"/>
          </w:tcPr>
          <w:p w:rsidR="009D40D3" w:rsidRPr="009D40D3" w:rsidRDefault="006014BC" w:rsidP="00F543D1">
            <w:pPr>
              <w:rPr>
                <w:rFonts w:ascii="Arial" w:hAnsi="Arial" w:cs="Arial"/>
                <w:sz w:val="24"/>
              </w:rPr>
            </w:pPr>
            <w:r>
              <w:rPr>
                <w:rFonts w:ascii="Arial" w:hAnsi="Arial" w:cs="Arial"/>
                <w:sz w:val="24"/>
              </w:rPr>
              <w:t>11</w:t>
            </w:r>
          </w:p>
        </w:tc>
        <w:tc>
          <w:tcPr>
            <w:tcW w:w="1518" w:type="dxa"/>
          </w:tcPr>
          <w:p w:rsidR="009D40D3" w:rsidRPr="009D40D3" w:rsidRDefault="006014BC" w:rsidP="00F543D1">
            <w:pPr>
              <w:rPr>
                <w:rFonts w:ascii="Arial" w:hAnsi="Arial" w:cs="Arial"/>
                <w:sz w:val="24"/>
              </w:rPr>
            </w:pPr>
            <w:r>
              <w:rPr>
                <w:rFonts w:ascii="Arial" w:hAnsi="Arial" w:cs="Arial"/>
                <w:sz w:val="24"/>
              </w:rPr>
              <w:t>22</w:t>
            </w:r>
          </w:p>
        </w:tc>
        <w:tc>
          <w:tcPr>
            <w:tcW w:w="1689" w:type="dxa"/>
          </w:tcPr>
          <w:p w:rsidR="009D40D3" w:rsidRPr="009D40D3" w:rsidRDefault="006014BC" w:rsidP="00F543D1">
            <w:pPr>
              <w:rPr>
                <w:rFonts w:ascii="Arial" w:hAnsi="Arial" w:cs="Arial"/>
                <w:sz w:val="24"/>
              </w:rPr>
            </w:pPr>
            <w:r>
              <w:rPr>
                <w:rFonts w:ascii="Arial" w:hAnsi="Arial" w:cs="Arial"/>
                <w:sz w:val="24"/>
              </w:rPr>
              <w:t>37</w:t>
            </w:r>
          </w:p>
        </w:tc>
        <w:tc>
          <w:tcPr>
            <w:tcW w:w="1181" w:type="dxa"/>
          </w:tcPr>
          <w:p w:rsidR="009D40D3" w:rsidRPr="009D40D3" w:rsidRDefault="006014BC" w:rsidP="00F543D1">
            <w:pPr>
              <w:rPr>
                <w:rFonts w:ascii="Arial" w:hAnsi="Arial" w:cs="Arial"/>
                <w:sz w:val="24"/>
              </w:rPr>
            </w:pPr>
            <w:r>
              <w:rPr>
                <w:rFonts w:ascii="Arial" w:hAnsi="Arial" w:cs="Arial"/>
                <w:sz w:val="24"/>
              </w:rPr>
              <w:t>70</w:t>
            </w:r>
          </w:p>
        </w:tc>
      </w:tr>
    </w:tbl>
    <w:p w:rsidR="00F543D1" w:rsidRPr="009D40D3" w:rsidRDefault="00F543D1" w:rsidP="00F543D1">
      <w:pPr>
        <w:rPr>
          <w:rFonts w:ascii="Arial" w:hAnsi="Arial" w:cs="Arial"/>
          <w:sz w:val="24"/>
        </w:rPr>
      </w:pPr>
    </w:p>
    <w:p w:rsidR="009D40D3" w:rsidRPr="00764BB2" w:rsidRDefault="009D40D3" w:rsidP="00F543D1">
      <w:pPr>
        <w:rPr>
          <w:rFonts w:ascii="Arial" w:hAnsi="Arial" w:cs="Arial"/>
          <w:b/>
          <w:sz w:val="24"/>
        </w:rPr>
      </w:pPr>
      <w:r w:rsidRPr="00764BB2">
        <w:rPr>
          <w:rFonts w:ascii="Arial" w:hAnsi="Arial" w:cs="Arial"/>
          <w:b/>
          <w:sz w:val="24"/>
        </w:rPr>
        <w:t xml:space="preserve">In Year </w:t>
      </w:r>
      <w:r w:rsidR="006014BC">
        <w:rPr>
          <w:rFonts w:ascii="Arial" w:hAnsi="Arial" w:cs="Arial"/>
          <w:b/>
          <w:sz w:val="24"/>
        </w:rPr>
        <w:t>Progress of Year 6 Pupils – 2020</w:t>
      </w:r>
    </w:p>
    <w:p w:rsidR="00764BB2" w:rsidRPr="007F1B35" w:rsidRDefault="00764BB2" w:rsidP="00764BB2">
      <w:pPr>
        <w:pStyle w:val="NoSpacing"/>
      </w:pPr>
    </w:p>
    <w:p w:rsidR="00764BB2" w:rsidRDefault="00764BB2" w:rsidP="00764BB2">
      <w:pPr>
        <w:pStyle w:val="NoSpacing"/>
      </w:pPr>
      <w:r>
        <w:t>Figures refer to the % of pupils on track to make expected (median), better than expected (UQ) or Outstanding pro</w:t>
      </w:r>
      <w:r w:rsidR="00526F78">
        <w:t>gress by the end of Key Stage 2.</w:t>
      </w:r>
    </w:p>
    <w:p w:rsidR="00526F78" w:rsidRDefault="00526F78" w:rsidP="00764BB2">
      <w:pPr>
        <w:pStyle w:val="NoSpacing"/>
      </w:pPr>
    </w:p>
    <w:tbl>
      <w:tblPr>
        <w:tblStyle w:val="TableGrid"/>
        <w:tblW w:w="0" w:type="auto"/>
        <w:jc w:val="center"/>
        <w:tblLook w:val="04A0" w:firstRow="1" w:lastRow="0" w:firstColumn="1" w:lastColumn="0" w:noHBand="0" w:noVBand="1"/>
      </w:tblPr>
      <w:tblGrid>
        <w:gridCol w:w="1261"/>
        <w:gridCol w:w="1549"/>
        <w:gridCol w:w="1550"/>
        <w:gridCol w:w="1549"/>
        <w:gridCol w:w="1552"/>
        <w:gridCol w:w="1555"/>
      </w:tblGrid>
      <w:tr w:rsidR="006014BC" w:rsidRPr="00D50AD2" w:rsidTr="00461F15">
        <w:trPr>
          <w:jc w:val="center"/>
        </w:trPr>
        <w:tc>
          <w:tcPr>
            <w:tcW w:w="9071" w:type="dxa"/>
            <w:gridSpan w:val="6"/>
          </w:tcPr>
          <w:p w:rsidR="006014BC" w:rsidRPr="00D50AD2" w:rsidRDefault="006014BC" w:rsidP="00461F15">
            <w:pPr>
              <w:rPr>
                <w:b/>
              </w:rPr>
            </w:pPr>
            <w:r w:rsidRPr="00534933">
              <w:rPr>
                <w:b/>
              </w:rPr>
              <w:t>Unless otherwise stated the percentages</w:t>
            </w:r>
            <w:r>
              <w:rPr>
                <w:b/>
              </w:rPr>
              <w:t xml:space="preserve"> below</w:t>
            </w:r>
            <w:r w:rsidRPr="00534933">
              <w:rPr>
                <w:b/>
              </w:rPr>
              <w:t xml:space="preserve"> are correct for all subjects</w:t>
            </w:r>
          </w:p>
        </w:tc>
      </w:tr>
      <w:tr w:rsidR="006014BC" w:rsidRPr="00D50AD2" w:rsidTr="00461F15">
        <w:trPr>
          <w:jc w:val="center"/>
        </w:trPr>
        <w:tc>
          <w:tcPr>
            <w:tcW w:w="9071" w:type="dxa"/>
            <w:gridSpan w:val="6"/>
          </w:tcPr>
          <w:p w:rsidR="006014BC" w:rsidRDefault="006014BC" w:rsidP="00461F15">
            <w:pPr>
              <w:jc w:val="center"/>
              <w:rPr>
                <w:b/>
              </w:rPr>
            </w:pPr>
          </w:p>
        </w:tc>
      </w:tr>
      <w:tr w:rsidR="006014BC" w:rsidRPr="00D50AD2" w:rsidTr="00461F15">
        <w:trPr>
          <w:jc w:val="center"/>
        </w:trPr>
        <w:tc>
          <w:tcPr>
            <w:tcW w:w="9071" w:type="dxa"/>
            <w:gridSpan w:val="6"/>
          </w:tcPr>
          <w:p w:rsidR="006014BC" w:rsidRPr="00D50AD2" w:rsidRDefault="006014BC" w:rsidP="00461F15">
            <w:pPr>
              <w:pStyle w:val="NoSpacing"/>
              <w:rPr>
                <w:b/>
              </w:rPr>
            </w:pPr>
            <w:r w:rsidRPr="00F6416E">
              <w:rPr>
                <w:b/>
              </w:rPr>
              <w:t xml:space="preserve"> </w:t>
            </w:r>
            <w:r>
              <w:rPr>
                <w:b/>
              </w:rPr>
              <w:t xml:space="preserve">4% </w:t>
            </w:r>
            <w:r w:rsidRPr="00F6416E">
              <w:rPr>
                <w:b/>
              </w:rPr>
              <w:t>=  1 Pupil</w:t>
            </w:r>
            <w:r w:rsidRPr="00F6416E">
              <w:rPr>
                <w:sz w:val="20"/>
                <w:szCs w:val="20"/>
              </w:rPr>
              <w:t xml:space="preserve">                                </w:t>
            </w:r>
            <w:r w:rsidRPr="00AA253E">
              <w:rPr>
                <w:b/>
                <w:color w:val="7030A0"/>
              </w:rPr>
              <w:t xml:space="preserve">English </w:t>
            </w:r>
            <w:r>
              <w:rPr>
                <w:b/>
                <w:color w:val="BF8F00" w:themeColor="accent4" w:themeShade="BF"/>
              </w:rPr>
              <w:t xml:space="preserve">- </w:t>
            </w:r>
            <w:r>
              <w:rPr>
                <w:b/>
              </w:rPr>
              <w:t xml:space="preserve">Year 6                                     27 Pupils  </w:t>
            </w:r>
          </w:p>
        </w:tc>
      </w:tr>
      <w:tr w:rsidR="006014BC" w:rsidRPr="00D50AD2" w:rsidTr="00461F15">
        <w:trPr>
          <w:jc w:val="center"/>
        </w:trPr>
        <w:tc>
          <w:tcPr>
            <w:tcW w:w="1271" w:type="dxa"/>
          </w:tcPr>
          <w:p w:rsidR="006014BC" w:rsidRPr="00E835C3" w:rsidRDefault="006014BC" w:rsidP="00461F15">
            <w:pPr>
              <w:pStyle w:val="NoSpacing"/>
              <w:rPr>
                <w:sz w:val="20"/>
              </w:rPr>
            </w:pPr>
          </w:p>
        </w:tc>
        <w:tc>
          <w:tcPr>
            <w:tcW w:w="1559" w:type="dxa"/>
          </w:tcPr>
          <w:p w:rsidR="006014BC" w:rsidRPr="00E835C3" w:rsidRDefault="006014BC" w:rsidP="00461F15">
            <w:pPr>
              <w:pStyle w:val="NoSpacing"/>
              <w:rPr>
                <w:sz w:val="20"/>
              </w:rPr>
            </w:pPr>
            <w:r w:rsidRPr="00E835C3">
              <w:rPr>
                <w:sz w:val="20"/>
              </w:rPr>
              <w:t>Less than expected progress</w:t>
            </w:r>
          </w:p>
        </w:tc>
        <w:tc>
          <w:tcPr>
            <w:tcW w:w="1560" w:type="dxa"/>
          </w:tcPr>
          <w:p w:rsidR="006014BC" w:rsidRPr="00E835C3" w:rsidRDefault="006014BC" w:rsidP="00461F15">
            <w:pPr>
              <w:pStyle w:val="NoSpacing"/>
              <w:rPr>
                <w:sz w:val="20"/>
              </w:rPr>
            </w:pPr>
            <w:r w:rsidRPr="00E835C3">
              <w:rPr>
                <w:sz w:val="20"/>
              </w:rPr>
              <w:t>Expected (Median) progress</w:t>
            </w:r>
          </w:p>
        </w:tc>
        <w:tc>
          <w:tcPr>
            <w:tcW w:w="1559" w:type="dxa"/>
          </w:tcPr>
          <w:p w:rsidR="006014BC" w:rsidRPr="00E835C3" w:rsidRDefault="006014BC" w:rsidP="00461F15">
            <w:pPr>
              <w:pStyle w:val="NoSpacing"/>
              <w:rPr>
                <w:sz w:val="20"/>
              </w:rPr>
            </w:pPr>
            <w:r w:rsidRPr="00E835C3">
              <w:rPr>
                <w:sz w:val="20"/>
              </w:rPr>
              <w:t>Good progress (UQ)</w:t>
            </w:r>
          </w:p>
        </w:tc>
        <w:tc>
          <w:tcPr>
            <w:tcW w:w="1557" w:type="dxa"/>
          </w:tcPr>
          <w:p w:rsidR="006014BC" w:rsidRPr="00E835C3" w:rsidRDefault="006014BC" w:rsidP="00461F15">
            <w:pPr>
              <w:pStyle w:val="NoSpacing"/>
              <w:rPr>
                <w:sz w:val="20"/>
              </w:rPr>
            </w:pPr>
            <w:r w:rsidRPr="00E835C3">
              <w:rPr>
                <w:sz w:val="20"/>
              </w:rPr>
              <w:t>Outstanding progress</w:t>
            </w:r>
          </w:p>
        </w:tc>
        <w:tc>
          <w:tcPr>
            <w:tcW w:w="1565" w:type="dxa"/>
          </w:tcPr>
          <w:p w:rsidR="006014BC" w:rsidRPr="00E835C3" w:rsidRDefault="006014BC" w:rsidP="00461F15">
            <w:pPr>
              <w:pStyle w:val="NoSpacing"/>
              <w:rPr>
                <w:sz w:val="20"/>
              </w:rPr>
            </w:pPr>
            <w:r w:rsidRPr="00E835C3">
              <w:rPr>
                <w:sz w:val="20"/>
              </w:rPr>
              <w:t>Total expected or better</w:t>
            </w:r>
          </w:p>
        </w:tc>
      </w:tr>
      <w:tr w:rsidR="006014BC" w:rsidRPr="00D50AD2" w:rsidTr="00461F15">
        <w:trPr>
          <w:jc w:val="center"/>
        </w:trPr>
        <w:tc>
          <w:tcPr>
            <w:tcW w:w="1271" w:type="dxa"/>
          </w:tcPr>
          <w:p w:rsidR="006014BC" w:rsidRPr="00F6416E" w:rsidRDefault="006014BC" w:rsidP="00461F15">
            <w:pPr>
              <w:jc w:val="center"/>
              <w:rPr>
                <w:sz w:val="20"/>
                <w:szCs w:val="20"/>
              </w:rPr>
            </w:pPr>
            <w:r>
              <w:rPr>
                <w:sz w:val="20"/>
                <w:szCs w:val="20"/>
              </w:rPr>
              <w:t>%</w:t>
            </w:r>
          </w:p>
        </w:tc>
        <w:tc>
          <w:tcPr>
            <w:tcW w:w="1559" w:type="dxa"/>
            <w:shd w:val="clear" w:color="auto" w:fill="FFFF00"/>
          </w:tcPr>
          <w:p w:rsidR="006014BC" w:rsidRPr="005560C0" w:rsidRDefault="006014BC" w:rsidP="00461F15">
            <w:pPr>
              <w:jc w:val="center"/>
              <w:rPr>
                <w:b/>
              </w:rPr>
            </w:pPr>
            <w:r>
              <w:rPr>
                <w:b/>
              </w:rPr>
              <w:t>30</w:t>
            </w:r>
          </w:p>
        </w:tc>
        <w:tc>
          <w:tcPr>
            <w:tcW w:w="1560" w:type="dxa"/>
            <w:shd w:val="clear" w:color="auto" w:fill="92D050"/>
          </w:tcPr>
          <w:p w:rsidR="006014BC" w:rsidRPr="005560C0" w:rsidRDefault="006014BC" w:rsidP="00461F15">
            <w:pPr>
              <w:jc w:val="center"/>
              <w:rPr>
                <w:b/>
              </w:rPr>
            </w:pPr>
            <w:r>
              <w:rPr>
                <w:b/>
              </w:rPr>
              <w:t>11</w:t>
            </w:r>
          </w:p>
        </w:tc>
        <w:tc>
          <w:tcPr>
            <w:tcW w:w="1559" w:type="dxa"/>
            <w:shd w:val="clear" w:color="auto" w:fill="ACB9CA" w:themeFill="text2" w:themeFillTint="66"/>
          </w:tcPr>
          <w:p w:rsidR="006014BC" w:rsidRPr="005560C0" w:rsidRDefault="006014BC" w:rsidP="00461F15">
            <w:pPr>
              <w:jc w:val="center"/>
              <w:rPr>
                <w:b/>
              </w:rPr>
            </w:pPr>
            <w:r>
              <w:rPr>
                <w:b/>
              </w:rPr>
              <w:t>22</w:t>
            </w:r>
          </w:p>
        </w:tc>
        <w:tc>
          <w:tcPr>
            <w:tcW w:w="1557" w:type="dxa"/>
            <w:shd w:val="clear" w:color="auto" w:fill="FFD966" w:themeFill="accent4" w:themeFillTint="99"/>
          </w:tcPr>
          <w:p w:rsidR="006014BC" w:rsidRPr="005560C0" w:rsidRDefault="006014BC" w:rsidP="00461F15">
            <w:pPr>
              <w:jc w:val="center"/>
              <w:rPr>
                <w:b/>
              </w:rPr>
            </w:pPr>
            <w:r>
              <w:rPr>
                <w:b/>
              </w:rPr>
              <w:t>37</w:t>
            </w:r>
          </w:p>
        </w:tc>
        <w:tc>
          <w:tcPr>
            <w:tcW w:w="1565" w:type="dxa"/>
          </w:tcPr>
          <w:p w:rsidR="006014BC" w:rsidRPr="005560C0" w:rsidRDefault="006014BC" w:rsidP="00461F15">
            <w:pPr>
              <w:jc w:val="center"/>
              <w:rPr>
                <w:b/>
              </w:rPr>
            </w:pPr>
            <w:r>
              <w:rPr>
                <w:b/>
              </w:rPr>
              <w:t>70</w:t>
            </w:r>
          </w:p>
        </w:tc>
      </w:tr>
      <w:tr w:rsidR="006014BC" w:rsidRPr="00D50AD2" w:rsidTr="00461F15">
        <w:trPr>
          <w:jc w:val="center"/>
        </w:trPr>
        <w:tc>
          <w:tcPr>
            <w:tcW w:w="1271" w:type="dxa"/>
          </w:tcPr>
          <w:p w:rsidR="006014BC" w:rsidRPr="00F6416E" w:rsidRDefault="006014BC" w:rsidP="00461F15">
            <w:pPr>
              <w:jc w:val="center"/>
              <w:rPr>
                <w:sz w:val="20"/>
                <w:szCs w:val="20"/>
              </w:rPr>
            </w:pPr>
            <w:r w:rsidRPr="00F6416E">
              <w:rPr>
                <w:sz w:val="20"/>
                <w:szCs w:val="20"/>
              </w:rPr>
              <w:t>No of pupils</w:t>
            </w:r>
          </w:p>
        </w:tc>
        <w:tc>
          <w:tcPr>
            <w:tcW w:w="1559" w:type="dxa"/>
            <w:shd w:val="clear" w:color="auto" w:fill="FFFF00"/>
          </w:tcPr>
          <w:p w:rsidR="006014BC" w:rsidRPr="005560C0" w:rsidRDefault="006014BC" w:rsidP="00461F15">
            <w:pPr>
              <w:jc w:val="center"/>
              <w:rPr>
                <w:b/>
              </w:rPr>
            </w:pPr>
            <w:r>
              <w:rPr>
                <w:b/>
              </w:rPr>
              <w:t>8</w:t>
            </w:r>
          </w:p>
        </w:tc>
        <w:tc>
          <w:tcPr>
            <w:tcW w:w="1560" w:type="dxa"/>
            <w:shd w:val="clear" w:color="auto" w:fill="92D050"/>
          </w:tcPr>
          <w:p w:rsidR="006014BC" w:rsidRPr="005560C0" w:rsidRDefault="006014BC" w:rsidP="00461F15">
            <w:pPr>
              <w:jc w:val="center"/>
              <w:rPr>
                <w:b/>
              </w:rPr>
            </w:pPr>
            <w:r>
              <w:rPr>
                <w:b/>
              </w:rPr>
              <w:t>3</w:t>
            </w:r>
          </w:p>
        </w:tc>
        <w:tc>
          <w:tcPr>
            <w:tcW w:w="1559" w:type="dxa"/>
            <w:shd w:val="clear" w:color="auto" w:fill="ACB9CA" w:themeFill="text2" w:themeFillTint="66"/>
          </w:tcPr>
          <w:p w:rsidR="006014BC" w:rsidRPr="005560C0" w:rsidRDefault="006014BC" w:rsidP="00461F15">
            <w:pPr>
              <w:jc w:val="center"/>
              <w:rPr>
                <w:b/>
              </w:rPr>
            </w:pPr>
            <w:r>
              <w:rPr>
                <w:b/>
              </w:rPr>
              <w:t>6</w:t>
            </w:r>
          </w:p>
        </w:tc>
        <w:tc>
          <w:tcPr>
            <w:tcW w:w="1557" w:type="dxa"/>
            <w:shd w:val="clear" w:color="auto" w:fill="FFD966" w:themeFill="accent4" w:themeFillTint="99"/>
          </w:tcPr>
          <w:p w:rsidR="006014BC" w:rsidRPr="005560C0" w:rsidRDefault="006014BC" w:rsidP="00461F15">
            <w:pPr>
              <w:jc w:val="center"/>
              <w:rPr>
                <w:b/>
              </w:rPr>
            </w:pPr>
            <w:r>
              <w:rPr>
                <w:b/>
              </w:rPr>
              <w:t>10</w:t>
            </w:r>
          </w:p>
        </w:tc>
        <w:tc>
          <w:tcPr>
            <w:tcW w:w="1565" w:type="dxa"/>
          </w:tcPr>
          <w:p w:rsidR="006014BC" w:rsidRPr="005560C0" w:rsidRDefault="006014BC" w:rsidP="00461F15">
            <w:pPr>
              <w:jc w:val="center"/>
              <w:rPr>
                <w:b/>
              </w:rPr>
            </w:pPr>
            <w:r>
              <w:rPr>
                <w:b/>
              </w:rPr>
              <w:t>19</w:t>
            </w:r>
          </w:p>
        </w:tc>
      </w:tr>
      <w:tr w:rsidR="006014BC" w:rsidRPr="00034347" w:rsidTr="00461F15">
        <w:trPr>
          <w:jc w:val="center"/>
        </w:trPr>
        <w:tc>
          <w:tcPr>
            <w:tcW w:w="9071" w:type="dxa"/>
            <w:gridSpan w:val="6"/>
          </w:tcPr>
          <w:p w:rsidR="006014BC" w:rsidRPr="00041DAE" w:rsidRDefault="006014BC" w:rsidP="00461F15">
            <w:pPr>
              <w:pStyle w:val="NoSpacing"/>
              <w:rPr>
                <w:b/>
                <w:sz w:val="20"/>
              </w:rPr>
            </w:pPr>
          </w:p>
          <w:p w:rsidR="006014BC" w:rsidRPr="00041DAE" w:rsidRDefault="006014BC" w:rsidP="00461F15">
            <w:pPr>
              <w:pStyle w:val="NoSpacing"/>
              <w:rPr>
                <w:b/>
                <w:sz w:val="20"/>
              </w:rPr>
            </w:pPr>
            <w:r>
              <w:rPr>
                <w:b/>
                <w:sz w:val="20"/>
              </w:rPr>
              <w:t xml:space="preserve">  16 pupils, 59% </w:t>
            </w:r>
            <w:r w:rsidRPr="00041DAE">
              <w:rPr>
                <w:b/>
                <w:sz w:val="20"/>
              </w:rPr>
              <w:t>are making accelerated progress (Good plus Outstanding)</w:t>
            </w:r>
          </w:p>
          <w:p w:rsidR="006014BC" w:rsidRPr="00041DAE" w:rsidRDefault="006014BC" w:rsidP="00461F15">
            <w:pPr>
              <w:pStyle w:val="NoSpacing"/>
              <w:rPr>
                <w:b/>
                <w:strike/>
                <w:sz w:val="20"/>
              </w:rPr>
            </w:pPr>
          </w:p>
        </w:tc>
      </w:tr>
      <w:tr w:rsidR="006014BC" w:rsidRPr="00034347" w:rsidTr="00461F15">
        <w:trPr>
          <w:jc w:val="center"/>
        </w:trPr>
        <w:tc>
          <w:tcPr>
            <w:tcW w:w="9071" w:type="dxa"/>
            <w:gridSpan w:val="6"/>
          </w:tcPr>
          <w:p w:rsidR="006014BC" w:rsidRPr="00034347" w:rsidRDefault="006014BC" w:rsidP="00461F15">
            <w:pPr>
              <w:pStyle w:val="NoSpacing"/>
              <w:jc w:val="center"/>
              <w:rPr>
                <w:b/>
              </w:rPr>
            </w:pPr>
            <w:r>
              <w:rPr>
                <w:b/>
                <w:color w:val="7030A0"/>
              </w:rPr>
              <w:t>Reading</w:t>
            </w:r>
            <w:r>
              <w:rPr>
                <w:b/>
              </w:rPr>
              <w:t xml:space="preserve"> - Year 6</w:t>
            </w:r>
            <w:r>
              <w:rPr>
                <w:b/>
              </w:rPr>
              <w:tab/>
              <w:t xml:space="preserve">                             </w:t>
            </w:r>
          </w:p>
        </w:tc>
      </w:tr>
      <w:tr w:rsidR="006014BC" w:rsidRPr="00921325" w:rsidTr="00461F15">
        <w:trPr>
          <w:jc w:val="center"/>
        </w:trPr>
        <w:tc>
          <w:tcPr>
            <w:tcW w:w="1271" w:type="dxa"/>
          </w:tcPr>
          <w:p w:rsidR="006014BC" w:rsidRPr="00E835C3" w:rsidRDefault="006014BC" w:rsidP="00461F15">
            <w:pPr>
              <w:pStyle w:val="NoSpacing"/>
              <w:rPr>
                <w:sz w:val="20"/>
              </w:rPr>
            </w:pPr>
          </w:p>
        </w:tc>
        <w:tc>
          <w:tcPr>
            <w:tcW w:w="1559" w:type="dxa"/>
          </w:tcPr>
          <w:p w:rsidR="006014BC" w:rsidRPr="00E835C3" w:rsidRDefault="006014BC" w:rsidP="00461F15">
            <w:pPr>
              <w:pStyle w:val="NoSpacing"/>
              <w:rPr>
                <w:sz w:val="20"/>
              </w:rPr>
            </w:pPr>
            <w:r w:rsidRPr="00E835C3">
              <w:rPr>
                <w:sz w:val="20"/>
              </w:rPr>
              <w:t>Less than expected progress</w:t>
            </w:r>
          </w:p>
        </w:tc>
        <w:tc>
          <w:tcPr>
            <w:tcW w:w="1560" w:type="dxa"/>
          </w:tcPr>
          <w:p w:rsidR="006014BC" w:rsidRPr="00E835C3" w:rsidRDefault="006014BC" w:rsidP="00461F15">
            <w:pPr>
              <w:pStyle w:val="NoSpacing"/>
              <w:rPr>
                <w:sz w:val="20"/>
              </w:rPr>
            </w:pPr>
            <w:r w:rsidRPr="00E835C3">
              <w:rPr>
                <w:sz w:val="20"/>
              </w:rPr>
              <w:t>Expected (Median) progress</w:t>
            </w:r>
          </w:p>
        </w:tc>
        <w:tc>
          <w:tcPr>
            <w:tcW w:w="1559" w:type="dxa"/>
          </w:tcPr>
          <w:p w:rsidR="006014BC" w:rsidRPr="00E835C3" w:rsidRDefault="006014BC" w:rsidP="00461F15">
            <w:pPr>
              <w:pStyle w:val="NoSpacing"/>
              <w:rPr>
                <w:sz w:val="20"/>
              </w:rPr>
            </w:pPr>
            <w:r w:rsidRPr="00E835C3">
              <w:rPr>
                <w:sz w:val="20"/>
              </w:rPr>
              <w:t>Good progress (UQ)</w:t>
            </w:r>
          </w:p>
        </w:tc>
        <w:tc>
          <w:tcPr>
            <w:tcW w:w="1557" w:type="dxa"/>
          </w:tcPr>
          <w:p w:rsidR="006014BC" w:rsidRPr="00E835C3" w:rsidRDefault="006014BC" w:rsidP="00461F15">
            <w:pPr>
              <w:pStyle w:val="NoSpacing"/>
              <w:rPr>
                <w:sz w:val="20"/>
              </w:rPr>
            </w:pPr>
            <w:r w:rsidRPr="00E835C3">
              <w:rPr>
                <w:sz w:val="20"/>
              </w:rPr>
              <w:t>Outstanding progress</w:t>
            </w:r>
          </w:p>
        </w:tc>
        <w:tc>
          <w:tcPr>
            <w:tcW w:w="1565" w:type="dxa"/>
          </w:tcPr>
          <w:p w:rsidR="006014BC" w:rsidRPr="00E835C3" w:rsidRDefault="006014BC" w:rsidP="00461F15">
            <w:pPr>
              <w:pStyle w:val="NoSpacing"/>
              <w:rPr>
                <w:sz w:val="20"/>
              </w:rPr>
            </w:pPr>
            <w:r w:rsidRPr="00E835C3">
              <w:rPr>
                <w:sz w:val="20"/>
              </w:rPr>
              <w:t>Total expected or better</w:t>
            </w:r>
          </w:p>
        </w:tc>
      </w:tr>
      <w:tr w:rsidR="006014BC" w:rsidRPr="00034347" w:rsidTr="00461F15">
        <w:trPr>
          <w:jc w:val="center"/>
        </w:trPr>
        <w:tc>
          <w:tcPr>
            <w:tcW w:w="1271" w:type="dxa"/>
          </w:tcPr>
          <w:p w:rsidR="006014BC" w:rsidRPr="00041DAE" w:rsidRDefault="006014BC" w:rsidP="00461F15">
            <w:pPr>
              <w:jc w:val="center"/>
              <w:rPr>
                <w:sz w:val="20"/>
              </w:rPr>
            </w:pPr>
            <w:r w:rsidRPr="00041DAE">
              <w:rPr>
                <w:sz w:val="20"/>
              </w:rPr>
              <w:t>%</w:t>
            </w:r>
          </w:p>
        </w:tc>
        <w:tc>
          <w:tcPr>
            <w:tcW w:w="1559" w:type="dxa"/>
            <w:shd w:val="clear" w:color="auto" w:fill="FFFF00"/>
          </w:tcPr>
          <w:p w:rsidR="006014BC" w:rsidRPr="008201C0" w:rsidRDefault="006014BC" w:rsidP="00461F15">
            <w:pPr>
              <w:jc w:val="center"/>
              <w:rPr>
                <w:b/>
              </w:rPr>
            </w:pPr>
            <w:r>
              <w:rPr>
                <w:b/>
              </w:rPr>
              <w:t>37</w:t>
            </w:r>
          </w:p>
        </w:tc>
        <w:tc>
          <w:tcPr>
            <w:tcW w:w="1560" w:type="dxa"/>
            <w:shd w:val="clear" w:color="auto" w:fill="92D050"/>
          </w:tcPr>
          <w:p w:rsidR="006014BC" w:rsidRPr="008201C0" w:rsidRDefault="006014BC" w:rsidP="00461F15">
            <w:pPr>
              <w:jc w:val="center"/>
              <w:rPr>
                <w:b/>
              </w:rPr>
            </w:pPr>
            <w:r>
              <w:rPr>
                <w:b/>
              </w:rPr>
              <w:t>15</w:t>
            </w:r>
          </w:p>
        </w:tc>
        <w:tc>
          <w:tcPr>
            <w:tcW w:w="1559" w:type="dxa"/>
            <w:shd w:val="clear" w:color="auto" w:fill="9CC2E5" w:themeFill="accent1" w:themeFillTint="99"/>
          </w:tcPr>
          <w:p w:rsidR="006014BC" w:rsidRPr="008201C0" w:rsidRDefault="006014BC" w:rsidP="00461F15">
            <w:pPr>
              <w:jc w:val="center"/>
              <w:rPr>
                <w:b/>
              </w:rPr>
            </w:pPr>
            <w:r>
              <w:rPr>
                <w:b/>
              </w:rPr>
              <w:t>4</w:t>
            </w:r>
          </w:p>
        </w:tc>
        <w:tc>
          <w:tcPr>
            <w:tcW w:w="1557" w:type="dxa"/>
            <w:shd w:val="clear" w:color="auto" w:fill="FFD966" w:themeFill="accent4" w:themeFillTint="99"/>
          </w:tcPr>
          <w:p w:rsidR="006014BC" w:rsidRPr="008201C0" w:rsidRDefault="006014BC" w:rsidP="00461F15">
            <w:pPr>
              <w:jc w:val="center"/>
              <w:rPr>
                <w:b/>
              </w:rPr>
            </w:pPr>
            <w:r>
              <w:rPr>
                <w:b/>
              </w:rPr>
              <w:t>44</w:t>
            </w:r>
          </w:p>
        </w:tc>
        <w:tc>
          <w:tcPr>
            <w:tcW w:w="1565" w:type="dxa"/>
          </w:tcPr>
          <w:p w:rsidR="006014BC" w:rsidRPr="008201C0" w:rsidRDefault="006014BC" w:rsidP="00461F15">
            <w:pPr>
              <w:jc w:val="center"/>
              <w:rPr>
                <w:b/>
              </w:rPr>
            </w:pPr>
            <w:r>
              <w:rPr>
                <w:b/>
              </w:rPr>
              <w:t>63</w:t>
            </w:r>
          </w:p>
        </w:tc>
      </w:tr>
      <w:tr w:rsidR="006014BC" w:rsidRPr="00034347" w:rsidTr="00461F15">
        <w:trPr>
          <w:jc w:val="center"/>
        </w:trPr>
        <w:tc>
          <w:tcPr>
            <w:tcW w:w="1271" w:type="dxa"/>
          </w:tcPr>
          <w:p w:rsidR="006014BC" w:rsidRPr="00041DAE" w:rsidRDefault="006014BC" w:rsidP="00461F15">
            <w:pPr>
              <w:jc w:val="center"/>
              <w:rPr>
                <w:sz w:val="20"/>
              </w:rPr>
            </w:pPr>
            <w:r w:rsidRPr="00041DAE">
              <w:rPr>
                <w:sz w:val="20"/>
              </w:rPr>
              <w:t>No of pupils</w:t>
            </w:r>
          </w:p>
        </w:tc>
        <w:tc>
          <w:tcPr>
            <w:tcW w:w="1559" w:type="dxa"/>
            <w:shd w:val="clear" w:color="auto" w:fill="FFFF00"/>
          </w:tcPr>
          <w:p w:rsidR="006014BC" w:rsidRDefault="006014BC" w:rsidP="00461F15">
            <w:pPr>
              <w:jc w:val="center"/>
              <w:rPr>
                <w:b/>
              </w:rPr>
            </w:pPr>
            <w:r>
              <w:rPr>
                <w:b/>
              </w:rPr>
              <w:t>10</w:t>
            </w:r>
          </w:p>
        </w:tc>
        <w:tc>
          <w:tcPr>
            <w:tcW w:w="1560" w:type="dxa"/>
            <w:shd w:val="clear" w:color="auto" w:fill="92D050"/>
          </w:tcPr>
          <w:p w:rsidR="006014BC" w:rsidRDefault="006014BC" w:rsidP="00461F15">
            <w:pPr>
              <w:jc w:val="center"/>
              <w:rPr>
                <w:b/>
              </w:rPr>
            </w:pPr>
            <w:r>
              <w:rPr>
                <w:b/>
              </w:rPr>
              <w:t>4</w:t>
            </w:r>
          </w:p>
        </w:tc>
        <w:tc>
          <w:tcPr>
            <w:tcW w:w="1559" w:type="dxa"/>
            <w:shd w:val="clear" w:color="auto" w:fill="9CC2E5" w:themeFill="accent1" w:themeFillTint="99"/>
          </w:tcPr>
          <w:p w:rsidR="006014BC" w:rsidRDefault="006014BC" w:rsidP="00461F15">
            <w:pPr>
              <w:jc w:val="center"/>
              <w:rPr>
                <w:b/>
              </w:rPr>
            </w:pPr>
            <w:r>
              <w:rPr>
                <w:b/>
              </w:rPr>
              <w:t>1</w:t>
            </w:r>
          </w:p>
        </w:tc>
        <w:tc>
          <w:tcPr>
            <w:tcW w:w="1557" w:type="dxa"/>
            <w:shd w:val="clear" w:color="auto" w:fill="FFD966" w:themeFill="accent4" w:themeFillTint="99"/>
          </w:tcPr>
          <w:p w:rsidR="006014BC" w:rsidRDefault="006014BC" w:rsidP="00461F15">
            <w:pPr>
              <w:jc w:val="center"/>
              <w:rPr>
                <w:b/>
              </w:rPr>
            </w:pPr>
            <w:r>
              <w:rPr>
                <w:b/>
              </w:rPr>
              <w:t>12</w:t>
            </w:r>
          </w:p>
        </w:tc>
        <w:tc>
          <w:tcPr>
            <w:tcW w:w="1565" w:type="dxa"/>
          </w:tcPr>
          <w:p w:rsidR="006014BC" w:rsidRDefault="006014BC" w:rsidP="00461F15">
            <w:pPr>
              <w:jc w:val="center"/>
              <w:rPr>
                <w:b/>
              </w:rPr>
            </w:pPr>
            <w:r>
              <w:rPr>
                <w:b/>
              </w:rPr>
              <w:t>17</w:t>
            </w:r>
          </w:p>
        </w:tc>
      </w:tr>
      <w:tr w:rsidR="006014BC" w:rsidRPr="00821C9D" w:rsidTr="00461F15">
        <w:trPr>
          <w:jc w:val="center"/>
        </w:trPr>
        <w:tc>
          <w:tcPr>
            <w:tcW w:w="9071" w:type="dxa"/>
            <w:gridSpan w:val="6"/>
          </w:tcPr>
          <w:p w:rsidR="006014BC" w:rsidRDefault="006014BC" w:rsidP="00461F15">
            <w:pPr>
              <w:pStyle w:val="NoSpacing"/>
              <w:rPr>
                <w:b/>
                <w:sz w:val="20"/>
              </w:rPr>
            </w:pPr>
          </w:p>
          <w:p w:rsidR="006014BC" w:rsidRPr="00041DAE" w:rsidRDefault="006014BC" w:rsidP="00461F15">
            <w:pPr>
              <w:pStyle w:val="NoSpacing"/>
              <w:rPr>
                <w:b/>
                <w:sz w:val="20"/>
              </w:rPr>
            </w:pPr>
            <w:r>
              <w:rPr>
                <w:b/>
                <w:sz w:val="20"/>
              </w:rPr>
              <w:lastRenderedPageBreak/>
              <w:t xml:space="preserve">13 </w:t>
            </w:r>
            <w:r w:rsidRPr="00041DAE">
              <w:rPr>
                <w:b/>
                <w:sz w:val="20"/>
              </w:rPr>
              <w:t>pupils</w:t>
            </w:r>
            <w:r>
              <w:rPr>
                <w:b/>
                <w:sz w:val="20"/>
              </w:rPr>
              <w:t xml:space="preserve">, 48% </w:t>
            </w:r>
            <w:r w:rsidRPr="00041DAE">
              <w:rPr>
                <w:b/>
                <w:sz w:val="20"/>
              </w:rPr>
              <w:t>are making accelerated progress (Good plus Outstanding)</w:t>
            </w:r>
          </w:p>
          <w:p w:rsidR="006014BC" w:rsidRPr="00041DAE" w:rsidRDefault="006014BC" w:rsidP="00461F15">
            <w:pPr>
              <w:pStyle w:val="NoSpacing"/>
              <w:rPr>
                <w:b/>
              </w:rPr>
            </w:pPr>
          </w:p>
        </w:tc>
      </w:tr>
      <w:tr w:rsidR="006014BC" w:rsidRPr="00821C9D" w:rsidTr="00461F15">
        <w:trPr>
          <w:jc w:val="center"/>
        </w:trPr>
        <w:tc>
          <w:tcPr>
            <w:tcW w:w="9071" w:type="dxa"/>
            <w:gridSpan w:val="6"/>
          </w:tcPr>
          <w:p w:rsidR="006014BC" w:rsidRPr="00821C9D" w:rsidRDefault="006014BC" w:rsidP="00461F15">
            <w:pPr>
              <w:pStyle w:val="NoSpacing"/>
              <w:jc w:val="center"/>
              <w:rPr>
                <w:b/>
              </w:rPr>
            </w:pPr>
            <w:r>
              <w:rPr>
                <w:b/>
              </w:rPr>
              <w:lastRenderedPageBreak/>
              <w:t xml:space="preserve">    </w:t>
            </w:r>
            <w:r>
              <w:rPr>
                <w:b/>
                <w:color w:val="7030A0"/>
              </w:rPr>
              <w:t>Maths</w:t>
            </w:r>
            <w:r>
              <w:rPr>
                <w:b/>
              </w:rPr>
              <w:t xml:space="preserve">  - Year 6</w:t>
            </w:r>
            <w:r w:rsidRPr="00821C9D">
              <w:rPr>
                <w:b/>
              </w:rPr>
              <w:tab/>
            </w:r>
          </w:p>
        </w:tc>
      </w:tr>
      <w:tr w:rsidR="006014BC" w:rsidRPr="00821C9D" w:rsidTr="00461F15">
        <w:trPr>
          <w:trHeight w:val="881"/>
          <w:jc w:val="center"/>
        </w:trPr>
        <w:tc>
          <w:tcPr>
            <w:tcW w:w="1271" w:type="dxa"/>
          </w:tcPr>
          <w:p w:rsidR="006014BC" w:rsidRPr="00E835C3" w:rsidRDefault="006014BC" w:rsidP="00461F15">
            <w:pPr>
              <w:pStyle w:val="NoSpacing"/>
              <w:rPr>
                <w:sz w:val="20"/>
              </w:rPr>
            </w:pPr>
          </w:p>
        </w:tc>
        <w:tc>
          <w:tcPr>
            <w:tcW w:w="1559" w:type="dxa"/>
          </w:tcPr>
          <w:p w:rsidR="006014BC" w:rsidRPr="00E835C3" w:rsidRDefault="006014BC" w:rsidP="00461F15">
            <w:pPr>
              <w:jc w:val="center"/>
              <w:rPr>
                <w:sz w:val="20"/>
              </w:rPr>
            </w:pPr>
            <w:r w:rsidRPr="00E835C3">
              <w:rPr>
                <w:sz w:val="20"/>
              </w:rPr>
              <w:t>Less than expected progress</w:t>
            </w:r>
          </w:p>
        </w:tc>
        <w:tc>
          <w:tcPr>
            <w:tcW w:w="1560" w:type="dxa"/>
          </w:tcPr>
          <w:p w:rsidR="006014BC" w:rsidRPr="00E835C3" w:rsidRDefault="006014BC" w:rsidP="00461F15">
            <w:pPr>
              <w:pStyle w:val="NoSpacing"/>
              <w:rPr>
                <w:sz w:val="20"/>
              </w:rPr>
            </w:pPr>
            <w:r w:rsidRPr="00E835C3">
              <w:rPr>
                <w:sz w:val="20"/>
              </w:rPr>
              <w:t>Expected (Median) progress</w:t>
            </w:r>
          </w:p>
        </w:tc>
        <w:tc>
          <w:tcPr>
            <w:tcW w:w="1559" w:type="dxa"/>
          </w:tcPr>
          <w:p w:rsidR="006014BC" w:rsidRPr="00E835C3" w:rsidRDefault="006014BC" w:rsidP="00461F15">
            <w:pPr>
              <w:pStyle w:val="NoSpacing"/>
              <w:rPr>
                <w:sz w:val="20"/>
              </w:rPr>
            </w:pPr>
            <w:r w:rsidRPr="00E835C3">
              <w:rPr>
                <w:sz w:val="20"/>
              </w:rPr>
              <w:t>Good progress (UQ)</w:t>
            </w:r>
          </w:p>
        </w:tc>
        <w:tc>
          <w:tcPr>
            <w:tcW w:w="1557" w:type="dxa"/>
          </w:tcPr>
          <w:p w:rsidR="006014BC" w:rsidRPr="00E835C3" w:rsidRDefault="006014BC" w:rsidP="00461F15">
            <w:pPr>
              <w:pStyle w:val="NoSpacing"/>
              <w:rPr>
                <w:sz w:val="20"/>
              </w:rPr>
            </w:pPr>
            <w:r w:rsidRPr="00E835C3">
              <w:rPr>
                <w:sz w:val="20"/>
              </w:rPr>
              <w:t>Outstanding progress</w:t>
            </w:r>
          </w:p>
        </w:tc>
        <w:tc>
          <w:tcPr>
            <w:tcW w:w="1565" w:type="dxa"/>
          </w:tcPr>
          <w:p w:rsidR="006014BC" w:rsidRPr="00E835C3" w:rsidRDefault="006014BC" w:rsidP="00461F15">
            <w:pPr>
              <w:pStyle w:val="NoSpacing"/>
              <w:rPr>
                <w:sz w:val="20"/>
              </w:rPr>
            </w:pPr>
            <w:r w:rsidRPr="00E835C3">
              <w:rPr>
                <w:sz w:val="20"/>
              </w:rPr>
              <w:t>Total expected or better</w:t>
            </w:r>
          </w:p>
        </w:tc>
      </w:tr>
      <w:tr w:rsidR="006014BC" w:rsidRPr="00821C9D" w:rsidTr="00461F15">
        <w:trPr>
          <w:jc w:val="center"/>
        </w:trPr>
        <w:tc>
          <w:tcPr>
            <w:tcW w:w="1271" w:type="dxa"/>
          </w:tcPr>
          <w:p w:rsidR="006014BC" w:rsidRPr="005A1744" w:rsidRDefault="006014BC" w:rsidP="00461F15">
            <w:pPr>
              <w:jc w:val="center"/>
              <w:rPr>
                <w:sz w:val="20"/>
              </w:rPr>
            </w:pPr>
            <w:r w:rsidRPr="005A1744">
              <w:rPr>
                <w:sz w:val="20"/>
              </w:rPr>
              <w:t>%</w:t>
            </w:r>
          </w:p>
        </w:tc>
        <w:tc>
          <w:tcPr>
            <w:tcW w:w="1559" w:type="dxa"/>
            <w:shd w:val="clear" w:color="auto" w:fill="FFFF00"/>
          </w:tcPr>
          <w:p w:rsidR="006014BC" w:rsidRPr="00516C63" w:rsidRDefault="006014BC" w:rsidP="00461F15">
            <w:pPr>
              <w:jc w:val="center"/>
              <w:rPr>
                <w:b/>
              </w:rPr>
            </w:pPr>
            <w:r>
              <w:rPr>
                <w:b/>
              </w:rPr>
              <w:t>19</w:t>
            </w:r>
          </w:p>
        </w:tc>
        <w:tc>
          <w:tcPr>
            <w:tcW w:w="1560" w:type="dxa"/>
            <w:shd w:val="clear" w:color="auto" w:fill="92D050"/>
          </w:tcPr>
          <w:p w:rsidR="006014BC" w:rsidRPr="00516C63" w:rsidRDefault="006014BC" w:rsidP="00461F15">
            <w:pPr>
              <w:jc w:val="center"/>
              <w:rPr>
                <w:b/>
              </w:rPr>
            </w:pPr>
            <w:r>
              <w:rPr>
                <w:b/>
              </w:rPr>
              <w:t>11</w:t>
            </w:r>
          </w:p>
        </w:tc>
        <w:tc>
          <w:tcPr>
            <w:tcW w:w="1559" w:type="dxa"/>
            <w:shd w:val="clear" w:color="auto" w:fill="9CC2E5" w:themeFill="accent1" w:themeFillTint="99"/>
          </w:tcPr>
          <w:p w:rsidR="006014BC" w:rsidRPr="00516C63" w:rsidRDefault="006014BC" w:rsidP="00461F15">
            <w:pPr>
              <w:jc w:val="center"/>
              <w:rPr>
                <w:b/>
              </w:rPr>
            </w:pPr>
            <w:r>
              <w:rPr>
                <w:b/>
              </w:rPr>
              <w:t>22</w:t>
            </w:r>
          </w:p>
        </w:tc>
        <w:tc>
          <w:tcPr>
            <w:tcW w:w="1557" w:type="dxa"/>
            <w:shd w:val="clear" w:color="auto" w:fill="FFD966" w:themeFill="accent4" w:themeFillTint="99"/>
          </w:tcPr>
          <w:p w:rsidR="006014BC" w:rsidRPr="00516C63" w:rsidRDefault="006014BC" w:rsidP="00461F15">
            <w:pPr>
              <w:jc w:val="center"/>
              <w:rPr>
                <w:b/>
              </w:rPr>
            </w:pPr>
            <w:r>
              <w:rPr>
                <w:b/>
              </w:rPr>
              <w:t>48</w:t>
            </w:r>
          </w:p>
        </w:tc>
        <w:tc>
          <w:tcPr>
            <w:tcW w:w="1565" w:type="dxa"/>
          </w:tcPr>
          <w:p w:rsidR="006014BC" w:rsidRPr="00516C63" w:rsidRDefault="006014BC" w:rsidP="00461F15">
            <w:pPr>
              <w:jc w:val="center"/>
              <w:rPr>
                <w:b/>
              </w:rPr>
            </w:pPr>
            <w:r>
              <w:rPr>
                <w:b/>
              </w:rPr>
              <w:t>81</w:t>
            </w:r>
          </w:p>
        </w:tc>
      </w:tr>
      <w:tr w:rsidR="006014BC" w:rsidRPr="00821C9D" w:rsidTr="00461F15">
        <w:trPr>
          <w:jc w:val="center"/>
        </w:trPr>
        <w:tc>
          <w:tcPr>
            <w:tcW w:w="1271" w:type="dxa"/>
          </w:tcPr>
          <w:p w:rsidR="006014BC" w:rsidRPr="005A1744" w:rsidRDefault="006014BC" w:rsidP="00461F15">
            <w:pPr>
              <w:jc w:val="center"/>
              <w:rPr>
                <w:sz w:val="20"/>
              </w:rPr>
            </w:pPr>
            <w:r w:rsidRPr="005A1744">
              <w:rPr>
                <w:sz w:val="20"/>
              </w:rPr>
              <w:t>No of pupils</w:t>
            </w:r>
          </w:p>
        </w:tc>
        <w:tc>
          <w:tcPr>
            <w:tcW w:w="1559" w:type="dxa"/>
            <w:shd w:val="clear" w:color="auto" w:fill="FFFF00"/>
          </w:tcPr>
          <w:p w:rsidR="006014BC" w:rsidRPr="00516C63" w:rsidRDefault="006014BC" w:rsidP="00461F15">
            <w:pPr>
              <w:jc w:val="center"/>
              <w:rPr>
                <w:b/>
              </w:rPr>
            </w:pPr>
            <w:r>
              <w:rPr>
                <w:b/>
              </w:rPr>
              <w:t>5</w:t>
            </w:r>
          </w:p>
        </w:tc>
        <w:tc>
          <w:tcPr>
            <w:tcW w:w="1560" w:type="dxa"/>
            <w:shd w:val="clear" w:color="auto" w:fill="92D050"/>
          </w:tcPr>
          <w:p w:rsidR="006014BC" w:rsidRDefault="006014BC" w:rsidP="00461F15">
            <w:pPr>
              <w:jc w:val="center"/>
              <w:rPr>
                <w:b/>
              </w:rPr>
            </w:pPr>
            <w:r>
              <w:rPr>
                <w:b/>
              </w:rPr>
              <w:t>3</w:t>
            </w:r>
          </w:p>
        </w:tc>
        <w:tc>
          <w:tcPr>
            <w:tcW w:w="1559" w:type="dxa"/>
            <w:shd w:val="clear" w:color="auto" w:fill="9CC2E5" w:themeFill="accent1" w:themeFillTint="99"/>
          </w:tcPr>
          <w:p w:rsidR="006014BC" w:rsidRDefault="006014BC" w:rsidP="00461F15">
            <w:pPr>
              <w:jc w:val="center"/>
              <w:rPr>
                <w:b/>
              </w:rPr>
            </w:pPr>
            <w:r>
              <w:rPr>
                <w:b/>
              </w:rPr>
              <w:t>6</w:t>
            </w:r>
          </w:p>
        </w:tc>
        <w:tc>
          <w:tcPr>
            <w:tcW w:w="1557" w:type="dxa"/>
            <w:shd w:val="clear" w:color="auto" w:fill="FFD966" w:themeFill="accent4" w:themeFillTint="99"/>
          </w:tcPr>
          <w:p w:rsidR="006014BC" w:rsidRDefault="006014BC" w:rsidP="00461F15">
            <w:pPr>
              <w:jc w:val="center"/>
              <w:rPr>
                <w:b/>
              </w:rPr>
            </w:pPr>
            <w:r>
              <w:rPr>
                <w:b/>
              </w:rPr>
              <w:t>13</w:t>
            </w:r>
          </w:p>
        </w:tc>
        <w:tc>
          <w:tcPr>
            <w:tcW w:w="1565" w:type="dxa"/>
          </w:tcPr>
          <w:p w:rsidR="006014BC" w:rsidRDefault="006014BC" w:rsidP="00461F15">
            <w:pPr>
              <w:jc w:val="center"/>
              <w:rPr>
                <w:b/>
              </w:rPr>
            </w:pPr>
            <w:r>
              <w:rPr>
                <w:b/>
              </w:rPr>
              <w:t>22</w:t>
            </w:r>
          </w:p>
        </w:tc>
      </w:tr>
      <w:tr w:rsidR="006014BC" w:rsidRPr="00821C9D" w:rsidTr="00461F15">
        <w:trPr>
          <w:jc w:val="center"/>
        </w:trPr>
        <w:tc>
          <w:tcPr>
            <w:tcW w:w="9071" w:type="dxa"/>
            <w:gridSpan w:val="6"/>
          </w:tcPr>
          <w:p w:rsidR="006014BC" w:rsidRPr="00041DAE" w:rsidRDefault="006014BC" w:rsidP="00461F15">
            <w:pPr>
              <w:pStyle w:val="NoSpacing"/>
              <w:rPr>
                <w:b/>
                <w:sz w:val="20"/>
              </w:rPr>
            </w:pPr>
          </w:p>
          <w:p w:rsidR="006014BC" w:rsidRPr="00041DAE" w:rsidRDefault="006014BC" w:rsidP="00461F15">
            <w:pPr>
              <w:pStyle w:val="NoSpacing"/>
              <w:rPr>
                <w:b/>
                <w:sz w:val="20"/>
              </w:rPr>
            </w:pPr>
            <w:r w:rsidRPr="00041DAE">
              <w:rPr>
                <w:b/>
                <w:sz w:val="20"/>
              </w:rPr>
              <w:t xml:space="preserve"> </w:t>
            </w:r>
            <w:r>
              <w:rPr>
                <w:b/>
                <w:sz w:val="20"/>
              </w:rPr>
              <w:t xml:space="preserve">19 </w:t>
            </w:r>
            <w:r w:rsidRPr="00041DAE">
              <w:rPr>
                <w:b/>
                <w:sz w:val="20"/>
              </w:rPr>
              <w:t>pupils</w:t>
            </w:r>
            <w:r>
              <w:rPr>
                <w:b/>
                <w:sz w:val="20"/>
              </w:rPr>
              <w:t xml:space="preserve">, 70% </w:t>
            </w:r>
            <w:r w:rsidRPr="00041DAE">
              <w:rPr>
                <w:b/>
                <w:sz w:val="20"/>
              </w:rPr>
              <w:t>are making accelerated progress (Good plus Outstanding)</w:t>
            </w:r>
          </w:p>
          <w:p w:rsidR="006014BC" w:rsidRPr="00041DAE" w:rsidRDefault="006014BC" w:rsidP="00461F15">
            <w:pPr>
              <w:pStyle w:val="NoSpacing"/>
              <w:rPr>
                <w:b/>
              </w:rPr>
            </w:pPr>
          </w:p>
        </w:tc>
      </w:tr>
      <w:tr w:rsidR="006014BC" w:rsidRPr="00821C9D" w:rsidTr="00461F15">
        <w:trPr>
          <w:jc w:val="center"/>
        </w:trPr>
        <w:tc>
          <w:tcPr>
            <w:tcW w:w="9071" w:type="dxa"/>
            <w:gridSpan w:val="6"/>
          </w:tcPr>
          <w:p w:rsidR="006014BC" w:rsidRPr="00821C9D" w:rsidRDefault="006014BC" w:rsidP="00461F15">
            <w:pPr>
              <w:pStyle w:val="NoSpacing"/>
              <w:jc w:val="center"/>
              <w:rPr>
                <w:b/>
              </w:rPr>
            </w:pPr>
            <w:r>
              <w:rPr>
                <w:b/>
                <w:color w:val="7030A0"/>
              </w:rPr>
              <w:t>Science</w:t>
            </w:r>
            <w:r>
              <w:rPr>
                <w:b/>
              </w:rPr>
              <w:t xml:space="preserve">  - Year 6                                                     </w:t>
            </w:r>
          </w:p>
        </w:tc>
      </w:tr>
      <w:tr w:rsidR="006014BC" w:rsidRPr="00821C9D" w:rsidTr="00461F15">
        <w:trPr>
          <w:jc w:val="center"/>
        </w:trPr>
        <w:tc>
          <w:tcPr>
            <w:tcW w:w="1271" w:type="dxa"/>
          </w:tcPr>
          <w:p w:rsidR="006014BC" w:rsidRPr="00E835C3" w:rsidRDefault="006014BC" w:rsidP="00461F15">
            <w:pPr>
              <w:pStyle w:val="NoSpacing"/>
              <w:rPr>
                <w:sz w:val="20"/>
              </w:rPr>
            </w:pPr>
          </w:p>
        </w:tc>
        <w:tc>
          <w:tcPr>
            <w:tcW w:w="1559" w:type="dxa"/>
          </w:tcPr>
          <w:p w:rsidR="006014BC" w:rsidRPr="00E835C3" w:rsidRDefault="006014BC" w:rsidP="00461F15">
            <w:pPr>
              <w:jc w:val="center"/>
              <w:rPr>
                <w:sz w:val="20"/>
              </w:rPr>
            </w:pPr>
            <w:r w:rsidRPr="00E835C3">
              <w:rPr>
                <w:sz w:val="20"/>
              </w:rPr>
              <w:t>Less than expected progress</w:t>
            </w:r>
          </w:p>
        </w:tc>
        <w:tc>
          <w:tcPr>
            <w:tcW w:w="1560" w:type="dxa"/>
          </w:tcPr>
          <w:p w:rsidR="006014BC" w:rsidRPr="00E835C3" w:rsidRDefault="006014BC" w:rsidP="00461F15">
            <w:pPr>
              <w:pStyle w:val="NoSpacing"/>
              <w:rPr>
                <w:sz w:val="20"/>
              </w:rPr>
            </w:pPr>
            <w:r w:rsidRPr="00E835C3">
              <w:rPr>
                <w:sz w:val="20"/>
              </w:rPr>
              <w:t>Expected (Median) progress</w:t>
            </w:r>
          </w:p>
        </w:tc>
        <w:tc>
          <w:tcPr>
            <w:tcW w:w="1559" w:type="dxa"/>
          </w:tcPr>
          <w:p w:rsidR="006014BC" w:rsidRPr="00E835C3" w:rsidRDefault="006014BC" w:rsidP="00461F15">
            <w:pPr>
              <w:pStyle w:val="NoSpacing"/>
              <w:rPr>
                <w:sz w:val="20"/>
              </w:rPr>
            </w:pPr>
            <w:r w:rsidRPr="00E835C3">
              <w:rPr>
                <w:sz w:val="20"/>
              </w:rPr>
              <w:t>Good progress (UQ)</w:t>
            </w:r>
          </w:p>
        </w:tc>
        <w:tc>
          <w:tcPr>
            <w:tcW w:w="1557" w:type="dxa"/>
          </w:tcPr>
          <w:p w:rsidR="006014BC" w:rsidRPr="00E835C3" w:rsidRDefault="006014BC" w:rsidP="00461F15">
            <w:pPr>
              <w:pStyle w:val="NoSpacing"/>
              <w:rPr>
                <w:sz w:val="20"/>
              </w:rPr>
            </w:pPr>
            <w:r w:rsidRPr="00E835C3">
              <w:rPr>
                <w:sz w:val="20"/>
              </w:rPr>
              <w:t>Outstanding progress</w:t>
            </w:r>
          </w:p>
        </w:tc>
        <w:tc>
          <w:tcPr>
            <w:tcW w:w="1565" w:type="dxa"/>
          </w:tcPr>
          <w:p w:rsidR="006014BC" w:rsidRPr="00E835C3" w:rsidRDefault="006014BC" w:rsidP="00461F15">
            <w:pPr>
              <w:pStyle w:val="NoSpacing"/>
              <w:rPr>
                <w:sz w:val="20"/>
              </w:rPr>
            </w:pPr>
            <w:r w:rsidRPr="00E835C3">
              <w:rPr>
                <w:sz w:val="20"/>
              </w:rPr>
              <w:t>Total expected or better</w:t>
            </w:r>
          </w:p>
        </w:tc>
      </w:tr>
      <w:tr w:rsidR="006014BC" w:rsidRPr="00821C9D" w:rsidTr="00461F15">
        <w:trPr>
          <w:jc w:val="center"/>
        </w:trPr>
        <w:tc>
          <w:tcPr>
            <w:tcW w:w="1271" w:type="dxa"/>
          </w:tcPr>
          <w:p w:rsidR="006014BC" w:rsidRPr="005A1744" w:rsidRDefault="006014BC" w:rsidP="00461F15">
            <w:pPr>
              <w:jc w:val="center"/>
              <w:rPr>
                <w:sz w:val="20"/>
              </w:rPr>
            </w:pPr>
            <w:r w:rsidRPr="005A1744">
              <w:rPr>
                <w:sz w:val="20"/>
              </w:rPr>
              <w:t>%</w:t>
            </w:r>
          </w:p>
        </w:tc>
        <w:tc>
          <w:tcPr>
            <w:tcW w:w="1559" w:type="dxa"/>
            <w:shd w:val="clear" w:color="auto" w:fill="FFFF00"/>
          </w:tcPr>
          <w:p w:rsidR="006014BC" w:rsidRPr="00C72A15" w:rsidRDefault="006014BC" w:rsidP="00461F15">
            <w:pPr>
              <w:jc w:val="center"/>
              <w:rPr>
                <w:b/>
              </w:rPr>
            </w:pPr>
            <w:r>
              <w:rPr>
                <w:b/>
              </w:rPr>
              <w:t>19</w:t>
            </w:r>
          </w:p>
        </w:tc>
        <w:tc>
          <w:tcPr>
            <w:tcW w:w="1560" w:type="dxa"/>
            <w:shd w:val="clear" w:color="auto" w:fill="92D050"/>
          </w:tcPr>
          <w:p w:rsidR="006014BC" w:rsidRPr="00C72A15" w:rsidRDefault="006014BC" w:rsidP="00461F15">
            <w:pPr>
              <w:jc w:val="center"/>
              <w:rPr>
                <w:b/>
              </w:rPr>
            </w:pPr>
            <w:r>
              <w:rPr>
                <w:b/>
              </w:rPr>
              <w:t>7</w:t>
            </w:r>
          </w:p>
        </w:tc>
        <w:tc>
          <w:tcPr>
            <w:tcW w:w="1559" w:type="dxa"/>
            <w:shd w:val="clear" w:color="auto" w:fill="9CC2E5" w:themeFill="accent1" w:themeFillTint="99"/>
          </w:tcPr>
          <w:p w:rsidR="006014BC" w:rsidRPr="00C72A15" w:rsidRDefault="006014BC" w:rsidP="00461F15">
            <w:pPr>
              <w:jc w:val="center"/>
              <w:rPr>
                <w:b/>
              </w:rPr>
            </w:pPr>
            <w:r>
              <w:rPr>
                <w:b/>
              </w:rPr>
              <w:t>11</w:t>
            </w:r>
          </w:p>
        </w:tc>
        <w:tc>
          <w:tcPr>
            <w:tcW w:w="1557" w:type="dxa"/>
            <w:shd w:val="clear" w:color="auto" w:fill="FFD966" w:themeFill="accent4" w:themeFillTint="99"/>
          </w:tcPr>
          <w:p w:rsidR="006014BC" w:rsidRPr="00C72A15" w:rsidRDefault="006014BC" w:rsidP="00461F15">
            <w:pPr>
              <w:jc w:val="center"/>
              <w:rPr>
                <w:b/>
              </w:rPr>
            </w:pPr>
            <w:r>
              <w:rPr>
                <w:b/>
              </w:rPr>
              <w:t>63</w:t>
            </w:r>
          </w:p>
        </w:tc>
        <w:tc>
          <w:tcPr>
            <w:tcW w:w="1565" w:type="dxa"/>
          </w:tcPr>
          <w:p w:rsidR="006014BC" w:rsidRPr="00C72A15" w:rsidRDefault="006014BC" w:rsidP="00461F15">
            <w:pPr>
              <w:jc w:val="center"/>
              <w:rPr>
                <w:b/>
              </w:rPr>
            </w:pPr>
            <w:r>
              <w:rPr>
                <w:b/>
              </w:rPr>
              <w:t>81</w:t>
            </w:r>
          </w:p>
        </w:tc>
      </w:tr>
      <w:tr w:rsidR="006014BC" w:rsidRPr="00821C9D" w:rsidTr="00461F15">
        <w:trPr>
          <w:jc w:val="center"/>
        </w:trPr>
        <w:tc>
          <w:tcPr>
            <w:tcW w:w="1271" w:type="dxa"/>
          </w:tcPr>
          <w:p w:rsidR="006014BC" w:rsidRPr="005A1744" w:rsidRDefault="006014BC" w:rsidP="00461F15">
            <w:pPr>
              <w:jc w:val="center"/>
              <w:rPr>
                <w:sz w:val="20"/>
              </w:rPr>
            </w:pPr>
            <w:r w:rsidRPr="005A1744">
              <w:rPr>
                <w:sz w:val="20"/>
              </w:rPr>
              <w:t>No of pupils</w:t>
            </w:r>
          </w:p>
        </w:tc>
        <w:tc>
          <w:tcPr>
            <w:tcW w:w="1559" w:type="dxa"/>
            <w:shd w:val="clear" w:color="auto" w:fill="FFFF00"/>
          </w:tcPr>
          <w:p w:rsidR="006014BC" w:rsidRDefault="006014BC" w:rsidP="00461F15">
            <w:pPr>
              <w:jc w:val="center"/>
              <w:rPr>
                <w:b/>
              </w:rPr>
            </w:pPr>
            <w:r>
              <w:rPr>
                <w:b/>
              </w:rPr>
              <w:t>5</w:t>
            </w:r>
          </w:p>
        </w:tc>
        <w:tc>
          <w:tcPr>
            <w:tcW w:w="1560" w:type="dxa"/>
            <w:shd w:val="clear" w:color="auto" w:fill="92D050"/>
          </w:tcPr>
          <w:p w:rsidR="006014BC" w:rsidRDefault="006014BC" w:rsidP="00461F15">
            <w:pPr>
              <w:jc w:val="center"/>
              <w:rPr>
                <w:b/>
              </w:rPr>
            </w:pPr>
            <w:r>
              <w:rPr>
                <w:b/>
              </w:rPr>
              <w:t>2</w:t>
            </w:r>
          </w:p>
        </w:tc>
        <w:tc>
          <w:tcPr>
            <w:tcW w:w="1559" w:type="dxa"/>
            <w:shd w:val="clear" w:color="auto" w:fill="9CC2E5" w:themeFill="accent1" w:themeFillTint="99"/>
          </w:tcPr>
          <w:p w:rsidR="006014BC" w:rsidRDefault="006014BC" w:rsidP="00461F15">
            <w:pPr>
              <w:jc w:val="center"/>
              <w:rPr>
                <w:b/>
              </w:rPr>
            </w:pPr>
            <w:r>
              <w:rPr>
                <w:b/>
              </w:rPr>
              <w:t>3</w:t>
            </w:r>
          </w:p>
        </w:tc>
        <w:tc>
          <w:tcPr>
            <w:tcW w:w="1557" w:type="dxa"/>
            <w:shd w:val="clear" w:color="auto" w:fill="FFD966" w:themeFill="accent4" w:themeFillTint="99"/>
          </w:tcPr>
          <w:p w:rsidR="006014BC" w:rsidRDefault="006014BC" w:rsidP="00461F15">
            <w:pPr>
              <w:jc w:val="center"/>
              <w:rPr>
                <w:b/>
              </w:rPr>
            </w:pPr>
            <w:r>
              <w:rPr>
                <w:b/>
              </w:rPr>
              <w:t>17</w:t>
            </w:r>
          </w:p>
        </w:tc>
        <w:tc>
          <w:tcPr>
            <w:tcW w:w="1565" w:type="dxa"/>
          </w:tcPr>
          <w:p w:rsidR="006014BC" w:rsidRDefault="006014BC" w:rsidP="00461F15">
            <w:pPr>
              <w:jc w:val="center"/>
              <w:rPr>
                <w:b/>
              </w:rPr>
            </w:pPr>
            <w:r>
              <w:rPr>
                <w:b/>
              </w:rPr>
              <w:t>22</w:t>
            </w:r>
          </w:p>
        </w:tc>
      </w:tr>
      <w:tr w:rsidR="006014BC" w:rsidRPr="00821C9D" w:rsidTr="00461F15">
        <w:trPr>
          <w:jc w:val="center"/>
        </w:trPr>
        <w:tc>
          <w:tcPr>
            <w:tcW w:w="9071" w:type="dxa"/>
            <w:gridSpan w:val="6"/>
          </w:tcPr>
          <w:p w:rsidR="006014BC" w:rsidRPr="005A1744" w:rsidRDefault="006014BC" w:rsidP="00461F15">
            <w:pPr>
              <w:pStyle w:val="NoSpacing"/>
              <w:rPr>
                <w:b/>
                <w:sz w:val="20"/>
              </w:rPr>
            </w:pPr>
          </w:p>
          <w:p w:rsidR="006014BC" w:rsidRPr="005A1744" w:rsidRDefault="006014BC" w:rsidP="00461F15">
            <w:pPr>
              <w:pStyle w:val="NoSpacing"/>
              <w:rPr>
                <w:b/>
                <w:sz w:val="20"/>
              </w:rPr>
            </w:pPr>
            <w:r>
              <w:rPr>
                <w:b/>
                <w:sz w:val="20"/>
              </w:rPr>
              <w:t xml:space="preserve">  20 </w:t>
            </w:r>
            <w:r w:rsidRPr="005A1744">
              <w:rPr>
                <w:b/>
                <w:sz w:val="20"/>
              </w:rPr>
              <w:t>pupils</w:t>
            </w:r>
            <w:r>
              <w:rPr>
                <w:b/>
                <w:sz w:val="20"/>
              </w:rPr>
              <w:t>, 74%</w:t>
            </w:r>
            <w:r w:rsidRPr="005A1744">
              <w:rPr>
                <w:b/>
                <w:sz w:val="20"/>
              </w:rPr>
              <w:t xml:space="preserve"> are making accelerated progress (Good plus Outstanding)</w:t>
            </w:r>
          </w:p>
          <w:p w:rsidR="006014BC" w:rsidRPr="00C72A15" w:rsidRDefault="006014BC" w:rsidP="00461F15">
            <w:pPr>
              <w:rPr>
                <w:b/>
              </w:rPr>
            </w:pPr>
          </w:p>
        </w:tc>
      </w:tr>
    </w:tbl>
    <w:p w:rsidR="00526F78" w:rsidRDefault="00526F78" w:rsidP="00F543D1">
      <w:pPr>
        <w:rPr>
          <w:sz w:val="24"/>
        </w:rPr>
      </w:pPr>
    </w:p>
    <w:p w:rsidR="007139C4" w:rsidRDefault="00D24B88" w:rsidP="00F543D1">
      <w:pPr>
        <w:rPr>
          <w:sz w:val="24"/>
        </w:rPr>
      </w:pPr>
      <w:r w:rsidRPr="00BE3FA1">
        <w:rPr>
          <w:rFonts w:ascii="Arial" w:hAnsi="Arial" w:cs="Arial"/>
          <w:b/>
          <w:sz w:val="24"/>
        </w:rPr>
        <w:t>Reading:</w:t>
      </w:r>
      <w:r w:rsidR="0045445C">
        <w:rPr>
          <w:rFonts w:ascii="Arial" w:hAnsi="Arial" w:cs="Arial"/>
          <w:sz w:val="24"/>
        </w:rPr>
        <w:t xml:space="preserve">  Pupils making </w:t>
      </w:r>
      <w:r w:rsidR="00461F15">
        <w:rPr>
          <w:rFonts w:ascii="Arial" w:hAnsi="Arial" w:cs="Arial"/>
          <w:sz w:val="24"/>
        </w:rPr>
        <w:t xml:space="preserve">good </w:t>
      </w:r>
      <w:r w:rsidR="0045445C">
        <w:rPr>
          <w:rFonts w:ascii="Arial" w:hAnsi="Arial" w:cs="Arial"/>
          <w:sz w:val="24"/>
        </w:rPr>
        <w:t xml:space="preserve">or better </w:t>
      </w:r>
      <w:r w:rsidR="00461F15">
        <w:rPr>
          <w:rFonts w:ascii="Arial" w:hAnsi="Arial" w:cs="Arial"/>
          <w:sz w:val="24"/>
        </w:rPr>
        <w:t>(accelerated)</w:t>
      </w:r>
      <w:r w:rsidR="0045445C">
        <w:rPr>
          <w:rFonts w:ascii="Arial" w:hAnsi="Arial" w:cs="Arial"/>
          <w:sz w:val="24"/>
        </w:rPr>
        <w:t xml:space="preserve">progress remains strong, especially those making </w:t>
      </w:r>
      <w:r w:rsidR="00461F15">
        <w:rPr>
          <w:rFonts w:ascii="Arial" w:hAnsi="Arial" w:cs="Arial"/>
          <w:sz w:val="24"/>
        </w:rPr>
        <w:t>outstanding progress – 44</w:t>
      </w:r>
      <w:r w:rsidR="0045445C">
        <w:rPr>
          <w:rFonts w:ascii="Arial" w:hAnsi="Arial" w:cs="Arial"/>
          <w:sz w:val="24"/>
        </w:rPr>
        <w:t xml:space="preserve">% </w:t>
      </w:r>
      <w:r w:rsidR="00461F15">
        <w:rPr>
          <w:rFonts w:ascii="Arial" w:hAnsi="Arial" w:cs="Arial"/>
          <w:sz w:val="24"/>
        </w:rPr>
        <w:t xml:space="preserve">12/27 </w:t>
      </w:r>
      <w:r w:rsidR="0045445C">
        <w:rPr>
          <w:rFonts w:ascii="Arial" w:hAnsi="Arial" w:cs="Arial"/>
          <w:sz w:val="24"/>
        </w:rPr>
        <w:t xml:space="preserve">of the year group. </w:t>
      </w:r>
      <w:r w:rsidRPr="00BE3FA1">
        <w:rPr>
          <w:rFonts w:ascii="Arial" w:hAnsi="Arial" w:cs="Arial"/>
          <w:sz w:val="24"/>
        </w:rPr>
        <w:t>The</w:t>
      </w:r>
      <w:r w:rsidR="00461F15">
        <w:rPr>
          <w:rFonts w:ascii="Arial" w:hAnsi="Arial" w:cs="Arial"/>
          <w:sz w:val="24"/>
        </w:rPr>
        <w:t>re are 10</w:t>
      </w:r>
      <w:r w:rsidR="00526F78">
        <w:rPr>
          <w:rFonts w:ascii="Arial" w:hAnsi="Arial" w:cs="Arial"/>
          <w:sz w:val="24"/>
        </w:rPr>
        <w:t>/25</w:t>
      </w:r>
      <w:r w:rsidR="0045445C">
        <w:rPr>
          <w:rFonts w:ascii="Arial" w:hAnsi="Arial" w:cs="Arial"/>
          <w:sz w:val="24"/>
        </w:rPr>
        <w:t xml:space="preserve"> pupil</w:t>
      </w:r>
      <w:r w:rsidR="00526F78">
        <w:rPr>
          <w:rFonts w:ascii="Arial" w:hAnsi="Arial" w:cs="Arial"/>
          <w:sz w:val="24"/>
        </w:rPr>
        <w:t>s</w:t>
      </w:r>
      <w:r w:rsidR="0045445C">
        <w:rPr>
          <w:rFonts w:ascii="Arial" w:hAnsi="Arial" w:cs="Arial"/>
          <w:sz w:val="24"/>
        </w:rPr>
        <w:t xml:space="preserve"> not making expected </w:t>
      </w:r>
      <w:r w:rsidR="00526F78">
        <w:rPr>
          <w:rFonts w:ascii="Arial" w:hAnsi="Arial" w:cs="Arial"/>
          <w:sz w:val="24"/>
        </w:rPr>
        <w:t>progress in Reading</w:t>
      </w:r>
      <w:r w:rsidR="004026A3">
        <w:rPr>
          <w:rFonts w:ascii="Arial" w:hAnsi="Arial" w:cs="Arial"/>
          <w:sz w:val="24"/>
        </w:rPr>
        <w:t xml:space="preserve"> in year 6</w:t>
      </w:r>
      <w:r w:rsidR="00526F78">
        <w:rPr>
          <w:rFonts w:ascii="Arial" w:hAnsi="Arial" w:cs="Arial"/>
          <w:sz w:val="24"/>
        </w:rPr>
        <w:t xml:space="preserve">. </w:t>
      </w:r>
      <w:r w:rsidR="00236890">
        <w:rPr>
          <w:rFonts w:ascii="Arial" w:hAnsi="Arial" w:cs="Arial"/>
          <w:sz w:val="24"/>
        </w:rPr>
        <w:t>We believe that given the in-</w:t>
      </w:r>
      <w:r w:rsidR="00461F15">
        <w:rPr>
          <w:rFonts w:ascii="Arial" w:hAnsi="Arial" w:cs="Arial"/>
          <w:sz w:val="24"/>
        </w:rPr>
        <w:t xml:space="preserve">year steps made by these pupils in diminishing the difference toward </w:t>
      </w:r>
      <w:r w:rsidR="00236890">
        <w:rPr>
          <w:rFonts w:ascii="Arial" w:hAnsi="Arial" w:cs="Arial"/>
          <w:sz w:val="24"/>
        </w:rPr>
        <w:t xml:space="preserve">them </w:t>
      </w:r>
      <w:r w:rsidR="00461F15">
        <w:rPr>
          <w:rFonts w:ascii="Arial" w:hAnsi="Arial" w:cs="Arial"/>
          <w:sz w:val="24"/>
        </w:rPr>
        <w:t>achieving expected progress</w:t>
      </w:r>
      <w:r w:rsidR="00236890">
        <w:rPr>
          <w:rFonts w:ascii="Arial" w:hAnsi="Arial" w:cs="Arial"/>
          <w:sz w:val="24"/>
        </w:rPr>
        <w:t xml:space="preserve">, that if Terms 5 and 6 hadn’t been so badly disrupted we would be celebrating a much larger cohort making expected or better progress (see the interventions tracking for year 6 pupils during Terms 1-3). </w:t>
      </w:r>
      <w:r w:rsidR="00461F15">
        <w:rPr>
          <w:rFonts w:ascii="Arial" w:hAnsi="Arial" w:cs="Arial"/>
          <w:sz w:val="24"/>
        </w:rPr>
        <w:t xml:space="preserve"> </w:t>
      </w:r>
      <w:r w:rsidR="00526F78">
        <w:rPr>
          <w:rFonts w:ascii="Arial" w:hAnsi="Arial" w:cs="Arial"/>
          <w:sz w:val="24"/>
        </w:rPr>
        <w:t>A</w:t>
      </w:r>
      <w:r w:rsidR="0045445C">
        <w:rPr>
          <w:rFonts w:ascii="Arial" w:hAnsi="Arial" w:cs="Arial"/>
          <w:sz w:val="24"/>
        </w:rPr>
        <w:t xml:space="preserve"> targeted range of new interventions </w:t>
      </w:r>
      <w:r w:rsidR="00526F78">
        <w:rPr>
          <w:rFonts w:ascii="Arial" w:hAnsi="Arial" w:cs="Arial"/>
          <w:sz w:val="24"/>
        </w:rPr>
        <w:t>will</w:t>
      </w:r>
      <w:r w:rsidR="0045445C">
        <w:rPr>
          <w:rFonts w:ascii="Arial" w:hAnsi="Arial" w:cs="Arial"/>
          <w:sz w:val="24"/>
        </w:rPr>
        <w:t xml:space="preserve"> be deployed to</w:t>
      </w:r>
      <w:r w:rsidR="00526F78">
        <w:rPr>
          <w:rFonts w:ascii="Arial" w:hAnsi="Arial" w:cs="Arial"/>
          <w:sz w:val="24"/>
        </w:rPr>
        <w:t xml:space="preserve"> </w:t>
      </w:r>
      <w:r w:rsidR="00236890">
        <w:rPr>
          <w:rFonts w:ascii="Arial" w:hAnsi="Arial" w:cs="Arial"/>
          <w:sz w:val="24"/>
        </w:rPr>
        <w:t xml:space="preserve">continue </w:t>
      </w:r>
      <w:r w:rsidR="00526F78">
        <w:rPr>
          <w:rFonts w:ascii="Arial" w:hAnsi="Arial" w:cs="Arial"/>
          <w:sz w:val="24"/>
        </w:rPr>
        <w:t>narrow</w:t>
      </w:r>
      <w:r w:rsidR="00236890">
        <w:rPr>
          <w:rFonts w:ascii="Arial" w:hAnsi="Arial" w:cs="Arial"/>
          <w:sz w:val="24"/>
        </w:rPr>
        <w:t>ing</w:t>
      </w:r>
      <w:r w:rsidR="00526F78">
        <w:rPr>
          <w:rFonts w:ascii="Arial" w:hAnsi="Arial" w:cs="Arial"/>
          <w:sz w:val="24"/>
        </w:rPr>
        <w:t xml:space="preserve"> this gap during year 7</w:t>
      </w:r>
      <w:r w:rsidR="008053BC">
        <w:rPr>
          <w:rFonts w:ascii="Arial" w:hAnsi="Arial" w:cs="Arial"/>
          <w:sz w:val="24"/>
        </w:rPr>
        <w:t xml:space="preserve">, </w:t>
      </w:r>
      <w:r w:rsidR="00354A21">
        <w:rPr>
          <w:rFonts w:ascii="Arial" w:hAnsi="Arial" w:cs="Arial"/>
          <w:sz w:val="24"/>
        </w:rPr>
        <w:t>similar</w:t>
      </w:r>
      <w:r w:rsidR="008053BC">
        <w:rPr>
          <w:rFonts w:ascii="Arial" w:hAnsi="Arial" w:cs="Arial"/>
          <w:sz w:val="24"/>
        </w:rPr>
        <w:t xml:space="preserve"> to the additional 3 </w:t>
      </w:r>
      <w:r w:rsidR="00354A21">
        <w:rPr>
          <w:rFonts w:ascii="Arial" w:hAnsi="Arial" w:cs="Arial"/>
          <w:sz w:val="24"/>
        </w:rPr>
        <w:t xml:space="preserve">Year 7 </w:t>
      </w:r>
      <w:r w:rsidR="008053BC">
        <w:rPr>
          <w:rFonts w:ascii="Arial" w:hAnsi="Arial" w:cs="Arial"/>
          <w:sz w:val="24"/>
        </w:rPr>
        <w:t>pupils making expected or better progress during 2019/2020</w:t>
      </w:r>
      <w:r w:rsidR="00354A21">
        <w:rPr>
          <w:rFonts w:ascii="Arial" w:hAnsi="Arial" w:cs="Arial"/>
          <w:sz w:val="24"/>
        </w:rPr>
        <w:t>.</w:t>
      </w:r>
      <w:r w:rsidR="008053BC">
        <w:rPr>
          <w:rFonts w:ascii="Arial" w:hAnsi="Arial" w:cs="Arial"/>
          <w:sz w:val="24"/>
        </w:rPr>
        <w:t xml:space="preserve"> </w:t>
      </w:r>
    </w:p>
    <w:sectPr w:rsidR="00713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D1"/>
    <w:rsid w:val="000065E7"/>
    <w:rsid w:val="00236890"/>
    <w:rsid w:val="00354A21"/>
    <w:rsid w:val="003B6BFE"/>
    <w:rsid w:val="004026A3"/>
    <w:rsid w:val="0045445C"/>
    <w:rsid w:val="00461F15"/>
    <w:rsid w:val="00526F78"/>
    <w:rsid w:val="0054082B"/>
    <w:rsid w:val="006014BC"/>
    <w:rsid w:val="00605F33"/>
    <w:rsid w:val="006B24DD"/>
    <w:rsid w:val="007139C4"/>
    <w:rsid w:val="00764BB2"/>
    <w:rsid w:val="008053BC"/>
    <w:rsid w:val="00810B84"/>
    <w:rsid w:val="009939A6"/>
    <w:rsid w:val="009D40D3"/>
    <w:rsid w:val="00A13F53"/>
    <w:rsid w:val="00AD0E57"/>
    <w:rsid w:val="00B521B8"/>
    <w:rsid w:val="00BE3FA1"/>
    <w:rsid w:val="00CB3ABD"/>
    <w:rsid w:val="00D24B88"/>
    <w:rsid w:val="00EE44F6"/>
    <w:rsid w:val="00F06410"/>
    <w:rsid w:val="00F5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4229"/>
  <w15:chartTrackingRefBased/>
  <w15:docId w15:val="{394E2015-5915-48D6-8451-7236058C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BB2"/>
    <w:pPr>
      <w:spacing w:after="0" w:line="240" w:lineRule="auto"/>
    </w:pPr>
    <w:rPr>
      <w:rFonts w:ascii="Tahoma" w:hAnsi="Tahoma"/>
    </w:rPr>
  </w:style>
  <w:style w:type="paragraph" w:styleId="BalloonText">
    <w:name w:val="Balloon Text"/>
    <w:basedOn w:val="Normal"/>
    <w:link w:val="BalloonTextChar"/>
    <w:uiPriority w:val="99"/>
    <w:semiHidden/>
    <w:unhideWhenUsed/>
    <w:rsid w:val="00D2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7F5E3F7B</Template>
  <TotalTime>24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ADY.YOUNG</dc:creator>
  <cp:keywords/>
  <dc:description/>
  <cp:lastModifiedBy>Ady Young</cp:lastModifiedBy>
  <cp:revision>5</cp:revision>
  <cp:lastPrinted>2019-09-04T11:10:00Z</cp:lastPrinted>
  <dcterms:created xsi:type="dcterms:W3CDTF">2020-09-14T11:13:00Z</dcterms:created>
  <dcterms:modified xsi:type="dcterms:W3CDTF">2020-09-14T11:38:00Z</dcterms:modified>
</cp:coreProperties>
</file>